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88" w:rsidRPr="00943A88" w:rsidRDefault="00943A88" w:rsidP="00943A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A88">
        <w:rPr>
          <w:rFonts w:ascii="Times New Roman" w:hAnsi="Times New Roman" w:cs="Times New Roman"/>
          <w:b/>
        </w:rPr>
        <w:t>MINISTÉRIO DA EDUCAÇÃO</w:t>
      </w:r>
    </w:p>
    <w:p w:rsidR="00943A88" w:rsidRPr="00943A88" w:rsidRDefault="00943A88" w:rsidP="00943A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A88">
        <w:rPr>
          <w:rFonts w:ascii="Times New Roman" w:hAnsi="Times New Roman" w:cs="Times New Roman"/>
          <w:b/>
        </w:rPr>
        <w:t>SECRETARIA DE EDUCAÇÃO SUPERIOR</w:t>
      </w:r>
    </w:p>
    <w:p w:rsidR="00943A88" w:rsidRPr="00943A88" w:rsidRDefault="00943A88" w:rsidP="00943A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A88">
        <w:rPr>
          <w:rFonts w:ascii="Times New Roman" w:hAnsi="Times New Roman" w:cs="Times New Roman"/>
          <w:b/>
        </w:rPr>
        <w:t xml:space="preserve">PORTARIA Nº 79, DE </w:t>
      </w:r>
      <w:proofErr w:type="gramStart"/>
      <w:r w:rsidRPr="00943A88">
        <w:rPr>
          <w:rFonts w:ascii="Times New Roman" w:hAnsi="Times New Roman" w:cs="Times New Roman"/>
          <w:b/>
        </w:rPr>
        <w:t>2</w:t>
      </w:r>
      <w:proofErr w:type="gramEnd"/>
      <w:r w:rsidRPr="00943A88">
        <w:rPr>
          <w:rFonts w:ascii="Times New Roman" w:hAnsi="Times New Roman" w:cs="Times New Roman"/>
          <w:b/>
        </w:rPr>
        <w:t xml:space="preserve"> DE MARÇO DE 2012</w:t>
      </w:r>
    </w:p>
    <w:p w:rsidR="00943A88" w:rsidRPr="00943A88" w:rsidRDefault="00943A88" w:rsidP="00943A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3A88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943A88">
        <w:rPr>
          <w:rFonts w:ascii="Times New Roman" w:hAnsi="Times New Roman" w:cs="Times New Roman"/>
        </w:rPr>
        <w:t>DA EDUCAÇÃO, no uso de atribuições decorrentes da</w:t>
      </w:r>
      <w:r>
        <w:rPr>
          <w:rFonts w:ascii="Times New Roman" w:hAnsi="Times New Roman" w:cs="Times New Roman"/>
        </w:rPr>
        <w:t xml:space="preserve"> </w:t>
      </w:r>
      <w:r w:rsidRPr="00943A88">
        <w:rPr>
          <w:rFonts w:ascii="Times New Roman" w:hAnsi="Times New Roman" w:cs="Times New Roman"/>
        </w:rPr>
        <w:t>Lei nº 12.101/2009, considerando (i) o contido no Ofício n.º 136/SAFIS/DRF/DIV/MG, que questiona a legalidade da concessão do Certificado</w:t>
      </w:r>
      <w:r>
        <w:rPr>
          <w:rFonts w:ascii="Times New Roman" w:hAnsi="Times New Roman" w:cs="Times New Roman"/>
        </w:rPr>
        <w:t xml:space="preserve"> </w:t>
      </w:r>
      <w:r w:rsidRPr="00943A88">
        <w:rPr>
          <w:rFonts w:ascii="Times New Roman" w:hAnsi="Times New Roman" w:cs="Times New Roman"/>
        </w:rPr>
        <w:t>de Entidade Beneficente de Assistência Social à FUNDAÇÃO</w:t>
      </w:r>
      <w:r>
        <w:rPr>
          <w:rFonts w:ascii="Times New Roman" w:hAnsi="Times New Roman" w:cs="Times New Roman"/>
        </w:rPr>
        <w:t xml:space="preserve"> </w:t>
      </w:r>
      <w:r w:rsidRPr="00943A88">
        <w:rPr>
          <w:rFonts w:ascii="Times New Roman" w:hAnsi="Times New Roman" w:cs="Times New Roman"/>
        </w:rPr>
        <w:t>EDUCACIONAL DE DIVINÓPOLIS no processo n.º</w:t>
      </w:r>
      <w:r>
        <w:rPr>
          <w:rFonts w:ascii="Times New Roman" w:hAnsi="Times New Roman" w:cs="Times New Roman"/>
        </w:rPr>
        <w:t xml:space="preserve"> </w:t>
      </w:r>
      <w:r w:rsidRPr="00943A88">
        <w:rPr>
          <w:rFonts w:ascii="Times New Roman" w:hAnsi="Times New Roman" w:cs="Times New Roman"/>
        </w:rPr>
        <w:t>28984019036/94 (23000.018834/2011-38); (</w:t>
      </w:r>
      <w:proofErr w:type="spellStart"/>
      <w:r w:rsidRPr="00943A88">
        <w:rPr>
          <w:rFonts w:ascii="Times New Roman" w:hAnsi="Times New Roman" w:cs="Times New Roman"/>
        </w:rPr>
        <w:t>ii</w:t>
      </w:r>
      <w:proofErr w:type="spellEnd"/>
      <w:r w:rsidRPr="00943A88">
        <w:rPr>
          <w:rFonts w:ascii="Times New Roman" w:hAnsi="Times New Roman" w:cs="Times New Roman"/>
        </w:rPr>
        <w:t>) o princípio de autotutela</w:t>
      </w:r>
      <w:r>
        <w:rPr>
          <w:rFonts w:ascii="Times New Roman" w:hAnsi="Times New Roman" w:cs="Times New Roman"/>
        </w:rPr>
        <w:t xml:space="preserve"> </w:t>
      </w:r>
      <w:r w:rsidRPr="00943A88">
        <w:rPr>
          <w:rFonts w:ascii="Times New Roman" w:hAnsi="Times New Roman" w:cs="Times New Roman"/>
        </w:rPr>
        <w:t>da administração previsto no artigo 53 da Lei nº 9.784/1999;</w:t>
      </w:r>
      <w:r>
        <w:rPr>
          <w:rFonts w:ascii="Times New Roman" w:hAnsi="Times New Roman" w:cs="Times New Roman"/>
        </w:rPr>
        <w:t xml:space="preserve"> </w:t>
      </w:r>
      <w:r w:rsidRPr="00943A88">
        <w:rPr>
          <w:rFonts w:ascii="Times New Roman" w:hAnsi="Times New Roman" w:cs="Times New Roman"/>
        </w:rPr>
        <w:t>(</w:t>
      </w:r>
      <w:proofErr w:type="spellStart"/>
      <w:r w:rsidRPr="00943A88">
        <w:rPr>
          <w:rFonts w:ascii="Times New Roman" w:hAnsi="Times New Roman" w:cs="Times New Roman"/>
        </w:rPr>
        <w:t>iii</w:t>
      </w:r>
      <w:proofErr w:type="spellEnd"/>
      <w:r w:rsidRPr="00943A88">
        <w:rPr>
          <w:rFonts w:ascii="Times New Roman" w:hAnsi="Times New Roman" w:cs="Times New Roman"/>
        </w:rPr>
        <w:t xml:space="preserve">) os fundamentos expostos na Nota Técnica nº 43/2012 </w:t>
      </w:r>
      <w:proofErr w:type="gramStart"/>
      <w:r w:rsidRPr="00943A88">
        <w:rPr>
          <w:rFonts w:ascii="Times New Roman" w:hAnsi="Times New Roman" w:cs="Times New Roman"/>
        </w:rPr>
        <w:t>-CGLNES</w:t>
      </w:r>
      <w:proofErr w:type="gramEnd"/>
      <w:r w:rsidRPr="00943A88">
        <w:rPr>
          <w:rFonts w:ascii="Times New Roman" w:hAnsi="Times New Roman" w:cs="Times New Roman"/>
        </w:rPr>
        <w:t>/GAB/</w:t>
      </w:r>
      <w:proofErr w:type="spellStart"/>
      <w:r w:rsidRPr="00943A88">
        <w:rPr>
          <w:rFonts w:ascii="Times New Roman" w:hAnsi="Times New Roman" w:cs="Times New Roman"/>
        </w:rPr>
        <w:t>SESu</w:t>
      </w:r>
      <w:proofErr w:type="spellEnd"/>
      <w:r w:rsidRPr="00943A88">
        <w:rPr>
          <w:rFonts w:ascii="Times New Roman" w:hAnsi="Times New Roman" w:cs="Times New Roman"/>
        </w:rPr>
        <w:t>/MEC, resolve:</w:t>
      </w:r>
      <w:bookmarkStart w:id="0" w:name="_GoBack"/>
      <w:bookmarkEnd w:id="0"/>
    </w:p>
    <w:p w:rsidR="00943A88" w:rsidRPr="00943A88" w:rsidRDefault="00943A88" w:rsidP="00943A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3A88">
        <w:rPr>
          <w:rFonts w:ascii="Times New Roman" w:hAnsi="Times New Roman" w:cs="Times New Roman"/>
          <w:lang w:val="en-US"/>
        </w:rPr>
        <w:t xml:space="preserve">Art. </w:t>
      </w:r>
      <w:proofErr w:type="gramStart"/>
      <w:r w:rsidRPr="00943A88">
        <w:rPr>
          <w:rFonts w:ascii="Times New Roman" w:hAnsi="Times New Roman" w:cs="Times New Roman"/>
          <w:lang w:val="en-US"/>
        </w:rPr>
        <w:t>1º.</w:t>
      </w:r>
      <w:proofErr w:type="gramEnd"/>
      <w:r w:rsidRPr="00943A88">
        <w:rPr>
          <w:rFonts w:ascii="Times New Roman" w:hAnsi="Times New Roman" w:cs="Times New Roman"/>
          <w:lang w:val="en-US"/>
        </w:rPr>
        <w:t xml:space="preserve"> </w:t>
      </w:r>
      <w:r w:rsidRPr="00943A88">
        <w:rPr>
          <w:rFonts w:ascii="Times New Roman" w:hAnsi="Times New Roman" w:cs="Times New Roman"/>
        </w:rPr>
        <w:t>Instaurar processo administrativo para promover a</w:t>
      </w:r>
      <w:r>
        <w:rPr>
          <w:rFonts w:ascii="Times New Roman" w:hAnsi="Times New Roman" w:cs="Times New Roman"/>
        </w:rPr>
        <w:t xml:space="preserve"> </w:t>
      </w:r>
      <w:r w:rsidRPr="00943A88">
        <w:rPr>
          <w:rFonts w:ascii="Times New Roman" w:hAnsi="Times New Roman" w:cs="Times New Roman"/>
        </w:rPr>
        <w:t>apuração dos fatos descritos como ilegais no processo e manifestações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43A88">
        <w:rPr>
          <w:rFonts w:ascii="Times New Roman" w:hAnsi="Times New Roman" w:cs="Times New Roman"/>
        </w:rPr>
        <w:t>sob referência</w:t>
      </w:r>
      <w:proofErr w:type="gramEnd"/>
      <w:r w:rsidRPr="00943A88">
        <w:rPr>
          <w:rFonts w:ascii="Times New Roman" w:hAnsi="Times New Roman" w:cs="Times New Roman"/>
        </w:rPr>
        <w:t>, ocorridos no âmbito do CNAS.</w:t>
      </w:r>
    </w:p>
    <w:p w:rsidR="00943A88" w:rsidRPr="00943A88" w:rsidRDefault="00943A88" w:rsidP="00943A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3A88">
        <w:rPr>
          <w:rFonts w:ascii="Times New Roman" w:hAnsi="Times New Roman" w:cs="Times New Roman"/>
        </w:rPr>
        <w:t>Art. 2º. Designar a Coordenadora-Geral de Legislação e Normas</w:t>
      </w:r>
      <w:r>
        <w:rPr>
          <w:rFonts w:ascii="Times New Roman" w:hAnsi="Times New Roman" w:cs="Times New Roman"/>
        </w:rPr>
        <w:t xml:space="preserve"> </w:t>
      </w:r>
      <w:r w:rsidRPr="00943A88">
        <w:rPr>
          <w:rFonts w:ascii="Times New Roman" w:hAnsi="Times New Roman" w:cs="Times New Roman"/>
        </w:rPr>
        <w:t>da Educação Superior, da Secretaria de Educação Superior, para</w:t>
      </w:r>
      <w:r>
        <w:rPr>
          <w:rFonts w:ascii="Times New Roman" w:hAnsi="Times New Roman" w:cs="Times New Roman"/>
        </w:rPr>
        <w:t xml:space="preserve"> </w:t>
      </w:r>
      <w:r w:rsidRPr="00943A88">
        <w:rPr>
          <w:rFonts w:ascii="Times New Roman" w:hAnsi="Times New Roman" w:cs="Times New Roman"/>
        </w:rPr>
        <w:t>a condução do processo, com o apoio técnico do Grupo de Trabalho</w:t>
      </w:r>
      <w:r>
        <w:rPr>
          <w:rFonts w:ascii="Times New Roman" w:hAnsi="Times New Roman" w:cs="Times New Roman"/>
        </w:rPr>
        <w:t xml:space="preserve"> </w:t>
      </w:r>
      <w:r w:rsidRPr="00943A88">
        <w:rPr>
          <w:rFonts w:ascii="Times New Roman" w:hAnsi="Times New Roman" w:cs="Times New Roman"/>
        </w:rPr>
        <w:t>instaurado pela Portaria nº 02 de 27 de maio de 2010.</w:t>
      </w:r>
    </w:p>
    <w:p w:rsidR="00943A88" w:rsidRPr="00943A88" w:rsidRDefault="00943A88" w:rsidP="00943A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3A88">
        <w:rPr>
          <w:rFonts w:ascii="Times New Roman" w:hAnsi="Times New Roman" w:cs="Times New Roman"/>
        </w:rPr>
        <w:t>Art. 3º. Determinar a notificação da Instituição para apresentação</w:t>
      </w:r>
      <w:r>
        <w:rPr>
          <w:rFonts w:ascii="Times New Roman" w:hAnsi="Times New Roman" w:cs="Times New Roman"/>
        </w:rPr>
        <w:t xml:space="preserve"> </w:t>
      </w:r>
      <w:r w:rsidRPr="00943A88">
        <w:rPr>
          <w:rFonts w:ascii="Times New Roman" w:hAnsi="Times New Roman" w:cs="Times New Roman"/>
        </w:rPr>
        <w:t>de defesa, no prazo de 30 dias contados do seu recebimento.</w:t>
      </w:r>
    </w:p>
    <w:p w:rsidR="00943A88" w:rsidRPr="00943A88" w:rsidRDefault="00943A88" w:rsidP="00943A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3A88">
        <w:rPr>
          <w:rFonts w:ascii="Times New Roman" w:hAnsi="Times New Roman" w:cs="Times New Roman"/>
        </w:rPr>
        <w:t>Art. 4º. Esta Portaria entra em vigor na data de sua publicação.</w:t>
      </w:r>
    </w:p>
    <w:p w:rsidR="00D442FB" w:rsidRPr="00943A88" w:rsidRDefault="00943A88" w:rsidP="00943A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A88">
        <w:rPr>
          <w:rFonts w:ascii="Times New Roman" w:hAnsi="Times New Roman" w:cs="Times New Roman"/>
          <w:b/>
        </w:rPr>
        <w:t>AMARO HENRIQUE PESSOA LINS</w:t>
      </w:r>
    </w:p>
    <w:p w:rsidR="00943A88" w:rsidRDefault="00943A88" w:rsidP="00943A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3A88" w:rsidRDefault="00943A88" w:rsidP="00943A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3A88" w:rsidRPr="00943A88" w:rsidRDefault="00943A88" w:rsidP="00943A8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43A88">
        <w:rPr>
          <w:rFonts w:ascii="Times New Roman" w:hAnsi="Times New Roman" w:cs="Times New Roman"/>
          <w:b/>
          <w:i/>
        </w:rPr>
        <w:t xml:space="preserve">(Publicação no DOU n.º 44, de 05.03.2012, Seção 1, página </w:t>
      </w:r>
      <w:proofErr w:type="gramStart"/>
      <w:r w:rsidRPr="00943A88">
        <w:rPr>
          <w:rFonts w:ascii="Times New Roman" w:hAnsi="Times New Roman" w:cs="Times New Roman"/>
          <w:b/>
          <w:i/>
        </w:rPr>
        <w:t>11)</w:t>
      </w:r>
      <w:proofErr w:type="gramEnd"/>
    </w:p>
    <w:sectPr w:rsidR="00943A88" w:rsidRPr="00943A88" w:rsidSect="00943A8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88" w:rsidRDefault="00943A88" w:rsidP="00943A88">
      <w:pPr>
        <w:spacing w:after="0" w:line="240" w:lineRule="auto"/>
      </w:pPr>
      <w:r>
        <w:separator/>
      </w:r>
    </w:p>
  </w:endnote>
  <w:endnote w:type="continuationSeparator" w:id="0">
    <w:p w:rsidR="00943A88" w:rsidRDefault="00943A88" w:rsidP="0094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764462"/>
      <w:docPartObj>
        <w:docPartGallery w:val="Page Numbers (Bottom of Page)"/>
        <w:docPartUnique/>
      </w:docPartObj>
    </w:sdtPr>
    <w:sdtContent>
      <w:p w:rsidR="00943A88" w:rsidRDefault="00943A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3A88" w:rsidRDefault="00943A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88" w:rsidRDefault="00943A88" w:rsidP="00943A88">
      <w:pPr>
        <w:spacing w:after="0" w:line="240" w:lineRule="auto"/>
      </w:pPr>
      <w:r>
        <w:separator/>
      </w:r>
    </w:p>
  </w:footnote>
  <w:footnote w:type="continuationSeparator" w:id="0">
    <w:p w:rsidR="00943A88" w:rsidRDefault="00943A88" w:rsidP="00943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88"/>
    <w:rsid w:val="00943A88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3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A88"/>
  </w:style>
  <w:style w:type="paragraph" w:styleId="Rodap">
    <w:name w:val="footer"/>
    <w:basedOn w:val="Normal"/>
    <w:link w:val="RodapChar"/>
    <w:uiPriority w:val="99"/>
    <w:unhideWhenUsed/>
    <w:rsid w:val="00943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3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A88"/>
  </w:style>
  <w:style w:type="paragraph" w:styleId="Rodap">
    <w:name w:val="footer"/>
    <w:basedOn w:val="Normal"/>
    <w:link w:val="RodapChar"/>
    <w:uiPriority w:val="99"/>
    <w:unhideWhenUsed/>
    <w:rsid w:val="00943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2012-03-05T11:07:00Z</dcterms:created>
  <dcterms:modified xsi:type="dcterms:W3CDTF">2012-03-05T11:07:00Z</dcterms:modified>
</cp:coreProperties>
</file>