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60" w:rsidRPr="00C07160" w:rsidRDefault="00C07160" w:rsidP="00C07160">
      <w:pPr>
        <w:spacing w:after="0"/>
        <w:jc w:val="center"/>
        <w:rPr>
          <w:rFonts w:ascii="Times New Roman" w:hAnsi="Times New Roman" w:cs="Times New Roman"/>
          <w:b/>
        </w:rPr>
      </w:pPr>
      <w:r w:rsidRPr="00C07160">
        <w:rPr>
          <w:rFonts w:ascii="Times New Roman" w:hAnsi="Times New Roman" w:cs="Times New Roman"/>
          <w:b/>
        </w:rPr>
        <w:t>MINI</w:t>
      </w:r>
      <w:r w:rsidR="00866162">
        <w:rPr>
          <w:rFonts w:ascii="Times New Roman" w:hAnsi="Times New Roman" w:cs="Times New Roman"/>
          <w:b/>
        </w:rPr>
        <w:t>S</w:t>
      </w:r>
      <w:bookmarkStart w:id="0" w:name="_GoBack"/>
      <w:bookmarkEnd w:id="0"/>
      <w:r w:rsidRPr="00C07160">
        <w:rPr>
          <w:rFonts w:ascii="Times New Roman" w:hAnsi="Times New Roman" w:cs="Times New Roman"/>
          <w:b/>
        </w:rPr>
        <w:t>TÉRIO DA EDUCAÇÃO</w:t>
      </w:r>
    </w:p>
    <w:p w:rsidR="00B5513E" w:rsidRPr="00C07160" w:rsidRDefault="00B5513E" w:rsidP="00C07160">
      <w:pPr>
        <w:spacing w:after="0"/>
        <w:jc w:val="center"/>
        <w:rPr>
          <w:rFonts w:ascii="Times New Roman" w:hAnsi="Times New Roman" w:cs="Times New Roman"/>
          <w:b/>
        </w:rPr>
      </w:pPr>
      <w:r w:rsidRPr="00C07160">
        <w:rPr>
          <w:rFonts w:ascii="Times New Roman" w:hAnsi="Times New Roman" w:cs="Times New Roman"/>
          <w:b/>
        </w:rPr>
        <w:t>SECRETARIA DE EDUCAÇÃO PROFISSIONAL</w:t>
      </w:r>
    </w:p>
    <w:p w:rsidR="00B5513E" w:rsidRPr="00C07160" w:rsidRDefault="00B5513E" w:rsidP="00C07160">
      <w:pPr>
        <w:spacing w:after="0"/>
        <w:jc w:val="center"/>
        <w:rPr>
          <w:rFonts w:ascii="Times New Roman" w:hAnsi="Times New Roman" w:cs="Times New Roman"/>
          <w:b/>
        </w:rPr>
      </w:pPr>
      <w:r w:rsidRPr="00C07160">
        <w:rPr>
          <w:rFonts w:ascii="Times New Roman" w:hAnsi="Times New Roman" w:cs="Times New Roman"/>
          <w:b/>
        </w:rPr>
        <w:t>E TECNOLÓGICA</w:t>
      </w:r>
    </w:p>
    <w:p w:rsidR="00B5513E" w:rsidRPr="00C07160" w:rsidRDefault="00B5513E" w:rsidP="00C07160">
      <w:pPr>
        <w:spacing w:after="0"/>
        <w:jc w:val="center"/>
        <w:rPr>
          <w:rFonts w:ascii="Times New Roman" w:hAnsi="Times New Roman" w:cs="Times New Roman"/>
          <w:b/>
        </w:rPr>
      </w:pPr>
      <w:r w:rsidRPr="00C07160">
        <w:rPr>
          <w:rFonts w:ascii="Times New Roman" w:hAnsi="Times New Roman" w:cs="Times New Roman"/>
          <w:b/>
        </w:rPr>
        <w:t>PORTARIA N</w:t>
      </w:r>
      <w:r w:rsidR="00C07160">
        <w:rPr>
          <w:rFonts w:ascii="Times New Roman" w:hAnsi="Times New Roman" w:cs="Times New Roman"/>
          <w:b/>
        </w:rPr>
        <w:t>º</w:t>
      </w:r>
      <w:r w:rsidRPr="00C07160">
        <w:rPr>
          <w:rFonts w:ascii="Times New Roman" w:hAnsi="Times New Roman" w:cs="Times New Roman"/>
          <w:b/>
        </w:rPr>
        <w:t xml:space="preserve"> 20, DE 26 DE JUNHO DE </w:t>
      </w:r>
      <w:proofErr w:type="gramStart"/>
      <w:r w:rsidRPr="00C07160">
        <w:rPr>
          <w:rFonts w:ascii="Times New Roman" w:hAnsi="Times New Roman" w:cs="Times New Roman"/>
          <w:b/>
        </w:rPr>
        <w:t>2012</w:t>
      </w:r>
      <w:proofErr w:type="gramEnd"/>
    </w:p>
    <w:p w:rsidR="00B5513E" w:rsidRPr="00C07160" w:rsidRDefault="00B5513E" w:rsidP="00C07160">
      <w:pPr>
        <w:spacing w:after="0"/>
        <w:ind w:firstLine="1560"/>
        <w:jc w:val="both"/>
        <w:rPr>
          <w:rFonts w:ascii="Times New Roman" w:hAnsi="Times New Roman" w:cs="Times New Roman"/>
        </w:rPr>
      </w:pPr>
      <w:r w:rsidRPr="00C07160">
        <w:rPr>
          <w:rFonts w:ascii="Times New Roman" w:hAnsi="Times New Roman" w:cs="Times New Roman"/>
        </w:rPr>
        <w:t>O SECRETÁRIO DE EDUCAÇÃO PROFISSIONAL E</w:t>
      </w:r>
      <w:r w:rsidR="00C07160">
        <w:rPr>
          <w:rFonts w:ascii="Times New Roman" w:hAnsi="Times New Roman" w:cs="Times New Roman"/>
        </w:rPr>
        <w:t xml:space="preserve"> </w:t>
      </w:r>
      <w:r w:rsidRPr="00C07160">
        <w:rPr>
          <w:rFonts w:ascii="Times New Roman" w:hAnsi="Times New Roman" w:cs="Times New Roman"/>
        </w:rPr>
        <w:t>TECNOLÓGICA DO MINISTÉRIO DA EDUCAÇÃO, nomeado pela</w:t>
      </w:r>
      <w:r w:rsidR="00C07160">
        <w:rPr>
          <w:rFonts w:ascii="Times New Roman" w:hAnsi="Times New Roman" w:cs="Times New Roman"/>
        </w:rPr>
        <w:t xml:space="preserve"> </w:t>
      </w:r>
      <w:r w:rsidRPr="00C07160">
        <w:rPr>
          <w:rFonts w:ascii="Times New Roman" w:hAnsi="Times New Roman" w:cs="Times New Roman"/>
        </w:rPr>
        <w:t>Portaria nº 182, de 05 de março de 2012, publicada no Diário</w:t>
      </w:r>
      <w:r w:rsidR="00C07160">
        <w:rPr>
          <w:rFonts w:ascii="Times New Roman" w:hAnsi="Times New Roman" w:cs="Times New Roman"/>
        </w:rPr>
        <w:t xml:space="preserve"> </w:t>
      </w:r>
      <w:r w:rsidRPr="00C07160">
        <w:rPr>
          <w:rFonts w:ascii="Times New Roman" w:hAnsi="Times New Roman" w:cs="Times New Roman"/>
        </w:rPr>
        <w:t>Oficial da União de 05 de março de 2012, no uso de suas atribuições</w:t>
      </w:r>
      <w:r w:rsidR="00C07160">
        <w:rPr>
          <w:rFonts w:ascii="Times New Roman" w:hAnsi="Times New Roman" w:cs="Times New Roman"/>
        </w:rPr>
        <w:t xml:space="preserve"> </w:t>
      </w:r>
      <w:r w:rsidRPr="00C07160">
        <w:rPr>
          <w:rFonts w:ascii="Times New Roman" w:hAnsi="Times New Roman" w:cs="Times New Roman"/>
        </w:rPr>
        <w:t>legais e observado o disposto nos seguintes fundamentos legais: artigo</w:t>
      </w:r>
      <w:r w:rsidR="00C07160">
        <w:rPr>
          <w:rFonts w:ascii="Times New Roman" w:hAnsi="Times New Roman" w:cs="Times New Roman"/>
        </w:rPr>
        <w:t xml:space="preserve"> </w:t>
      </w:r>
      <w:r w:rsidRPr="00C07160">
        <w:rPr>
          <w:rFonts w:ascii="Times New Roman" w:hAnsi="Times New Roman" w:cs="Times New Roman"/>
        </w:rPr>
        <w:t>214 da Constituição Federal, a Lei Complementar nº 101, de 04</w:t>
      </w:r>
      <w:r w:rsidR="00C07160">
        <w:rPr>
          <w:rFonts w:ascii="Times New Roman" w:hAnsi="Times New Roman" w:cs="Times New Roman"/>
        </w:rPr>
        <w:t xml:space="preserve"> </w:t>
      </w:r>
      <w:r w:rsidRPr="00C07160">
        <w:rPr>
          <w:rFonts w:ascii="Times New Roman" w:hAnsi="Times New Roman" w:cs="Times New Roman"/>
        </w:rPr>
        <w:t>de maio de 2000, a Lei nº 11.768, de 14 de agosto de 2008, a Lei</w:t>
      </w:r>
      <w:r w:rsidR="00C07160">
        <w:rPr>
          <w:rFonts w:ascii="Times New Roman" w:hAnsi="Times New Roman" w:cs="Times New Roman"/>
        </w:rPr>
        <w:t xml:space="preserve"> </w:t>
      </w:r>
      <w:r w:rsidRPr="00C07160">
        <w:rPr>
          <w:rFonts w:ascii="Times New Roman" w:hAnsi="Times New Roman" w:cs="Times New Roman"/>
        </w:rPr>
        <w:t>11.897, de 30 de dezembro de 2008, o Decreto nº 6.170, de 25 de</w:t>
      </w:r>
      <w:r w:rsidR="00C07160">
        <w:rPr>
          <w:rFonts w:ascii="Times New Roman" w:hAnsi="Times New Roman" w:cs="Times New Roman"/>
        </w:rPr>
        <w:t xml:space="preserve"> </w:t>
      </w:r>
      <w:r w:rsidRPr="00C07160">
        <w:rPr>
          <w:rFonts w:ascii="Times New Roman" w:hAnsi="Times New Roman" w:cs="Times New Roman"/>
        </w:rPr>
        <w:t xml:space="preserve">julho de 2007, Decreto nº 7.690, de </w:t>
      </w:r>
      <w:proofErr w:type="gramStart"/>
      <w:r w:rsidRPr="00C07160">
        <w:rPr>
          <w:rFonts w:ascii="Times New Roman" w:hAnsi="Times New Roman" w:cs="Times New Roman"/>
        </w:rPr>
        <w:t>2</w:t>
      </w:r>
      <w:proofErr w:type="gramEnd"/>
      <w:r w:rsidRPr="00C07160">
        <w:rPr>
          <w:rFonts w:ascii="Times New Roman" w:hAnsi="Times New Roman" w:cs="Times New Roman"/>
        </w:rPr>
        <w:t xml:space="preserve"> de março de 2012, o Decreto</w:t>
      </w:r>
      <w:r w:rsidR="00C07160">
        <w:rPr>
          <w:rFonts w:ascii="Times New Roman" w:hAnsi="Times New Roman" w:cs="Times New Roman"/>
        </w:rPr>
        <w:t xml:space="preserve"> </w:t>
      </w:r>
      <w:r w:rsidRPr="00C07160">
        <w:rPr>
          <w:rFonts w:ascii="Times New Roman" w:hAnsi="Times New Roman" w:cs="Times New Roman"/>
        </w:rPr>
        <w:t>nº 6.752, de 28 de janeiro de 2009, Lei nº12.513/2011, de 26 de</w:t>
      </w:r>
      <w:r w:rsidR="00866162">
        <w:rPr>
          <w:rFonts w:ascii="Times New Roman" w:hAnsi="Times New Roman" w:cs="Times New Roman"/>
        </w:rPr>
        <w:t xml:space="preserve"> </w:t>
      </w:r>
      <w:r w:rsidRPr="00C07160">
        <w:rPr>
          <w:rFonts w:ascii="Times New Roman" w:hAnsi="Times New Roman" w:cs="Times New Roman"/>
        </w:rPr>
        <w:t>outubro de 2011, Portaria MEC nº1.569, de 3 de novembro de 2011,</w:t>
      </w:r>
      <w:r w:rsidR="00C07160">
        <w:rPr>
          <w:rFonts w:ascii="Times New Roman" w:hAnsi="Times New Roman" w:cs="Times New Roman"/>
        </w:rPr>
        <w:t xml:space="preserve"> </w:t>
      </w:r>
      <w:r w:rsidRPr="00C07160">
        <w:rPr>
          <w:rFonts w:ascii="Times New Roman" w:hAnsi="Times New Roman" w:cs="Times New Roman"/>
        </w:rPr>
        <w:t>Resolução FNDE nº31, de 1º de julho de 2011 e Resoluções FNDE nº</w:t>
      </w:r>
      <w:r w:rsidR="00C07160">
        <w:rPr>
          <w:rFonts w:ascii="Times New Roman" w:hAnsi="Times New Roman" w:cs="Times New Roman"/>
        </w:rPr>
        <w:t xml:space="preserve"> </w:t>
      </w:r>
      <w:r w:rsidRPr="00C07160">
        <w:rPr>
          <w:rFonts w:ascii="Times New Roman" w:hAnsi="Times New Roman" w:cs="Times New Roman"/>
        </w:rPr>
        <w:t>03 e nº 04, de 16 de março de 2012 resolve:</w:t>
      </w:r>
    </w:p>
    <w:p w:rsidR="00B5513E" w:rsidRPr="00C07160" w:rsidRDefault="00B5513E" w:rsidP="00C07160">
      <w:pPr>
        <w:spacing w:after="0"/>
        <w:ind w:firstLine="1560"/>
        <w:jc w:val="both"/>
        <w:rPr>
          <w:rFonts w:ascii="Times New Roman" w:hAnsi="Times New Roman" w:cs="Times New Roman"/>
        </w:rPr>
      </w:pPr>
      <w:r w:rsidRPr="00C07160">
        <w:rPr>
          <w:rFonts w:ascii="Times New Roman" w:hAnsi="Times New Roman" w:cs="Times New Roman"/>
        </w:rPr>
        <w:t>Art. 1º - Divulgar a relação dos Parceiros Ofertantes que</w:t>
      </w:r>
      <w:r w:rsidR="00C07160">
        <w:rPr>
          <w:rFonts w:ascii="Times New Roman" w:hAnsi="Times New Roman" w:cs="Times New Roman"/>
        </w:rPr>
        <w:t xml:space="preserve"> </w:t>
      </w:r>
      <w:r w:rsidRPr="00C07160">
        <w:rPr>
          <w:rFonts w:ascii="Times New Roman" w:hAnsi="Times New Roman" w:cs="Times New Roman"/>
        </w:rPr>
        <w:t>firmaram Termo de Cooperação ou Termo de Adesão ao Programa</w:t>
      </w:r>
      <w:r w:rsidR="00C07160">
        <w:rPr>
          <w:rFonts w:ascii="Times New Roman" w:hAnsi="Times New Roman" w:cs="Times New Roman"/>
        </w:rPr>
        <w:t xml:space="preserve"> </w:t>
      </w:r>
      <w:r w:rsidRPr="00C07160">
        <w:rPr>
          <w:rFonts w:ascii="Times New Roman" w:hAnsi="Times New Roman" w:cs="Times New Roman"/>
        </w:rPr>
        <w:t xml:space="preserve">Nacional de Acesso ao Ensino Técnico e Emprego - </w:t>
      </w:r>
      <w:proofErr w:type="spellStart"/>
      <w:r w:rsidRPr="00C07160">
        <w:rPr>
          <w:rFonts w:ascii="Times New Roman" w:hAnsi="Times New Roman" w:cs="Times New Roman"/>
        </w:rPr>
        <w:t>Pronatec</w:t>
      </w:r>
      <w:proofErr w:type="spellEnd"/>
      <w:r w:rsidRPr="00C07160">
        <w:rPr>
          <w:rFonts w:ascii="Times New Roman" w:hAnsi="Times New Roman" w:cs="Times New Roman"/>
        </w:rPr>
        <w:t>, considerados</w:t>
      </w:r>
      <w:r w:rsidR="00C07160">
        <w:rPr>
          <w:rFonts w:ascii="Times New Roman" w:hAnsi="Times New Roman" w:cs="Times New Roman"/>
        </w:rPr>
        <w:t xml:space="preserve"> </w:t>
      </w:r>
      <w:r w:rsidRPr="00C07160">
        <w:rPr>
          <w:rFonts w:ascii="Times New Roman" w:hAnsi="Times New Roman" w:cs="Times New Roman"/>
        </w:rPr>
        <w:t>aptos a receber recursos financeiros que totalizam R$</w:t>
      </w:r>
      <w:r w:rsidR="00C07160">
        <w:rPr>
          <w:rFonts w:ascii="Times New Roman" w:hAnsi="Times New Roman" w:cs="Times New Roman"/>
        </w:rPr>
        <w:t xml:space="preserve"> </w:t>
      </w:r>
      <w:r w:rsidRPr="00C07160">
        <w:rPr>
          <w:rFonts w:ascii="Times New Roman" w:hAnsi="Times New Roman" w:cs="Times New Roman"/>
        </w:rPr>
        <w:t>36.535.950,00, visando atender o custeio da ação Bolsa-Formação no</w:t>
      </w:r>
      <w:r w:rsidR="00C07160">
        <w:rPr>
          <w:rFonts w:ascii="Times New Roman" w:hAnsi="Times New Roman" w:cs="Times New Roman"/>
        </w:rPr>
        <w:t xml:space="preserve"> </w:t>
      </w:r>
      <w:r w:rsidRPr="00C07160">
        <w:rPr>
          <w:rFonts w:ascii="Times New Roman" w:hAnsi="Times New Roman" w:cs="Times New Roman"/>
        </w:rPr>
        <w:t>âmbito do Programa, no exercício de 2012, conforme detalhamento</w:t>
      </w:r>
      <w:r w:rsidR="00C07160">
        <w:rPr>
          <w:rFonts w:ascii="Times New Roman" w:hAnsi="Times New Roman" w:cs="Times New Roman"/>
        </w:rPr>
        <w:t xml:space="preserve"> </w:t>
      </w:r>
      <w:r w:rsidRPr="00C07160">
        <w:rPr>
          <w:rFonts w:ascii="Times New Roman" w:hAnsi="Times New Roman" w:cs="Times New Roman"/>
        </w:rPr>
        <w:t>descrito no Anexo I desta Portaria. Os créditos orçamentários obedecem</w:t>
      </w:r>
      <w:r w:rsidR="00C07160">
        <w:rPr>
          <w:rFonts w:ascii="Times New Roman" w:hAnsi="Times New Roman" w:cs="Times New Roman"/>
        </w:rPr>
        <w:t xml:space="preserve"> </w:t>
      </w:r>
      <w:r w:rsidRPr="00C07160">
        <w:rPr>
          <w:rFonts w:ascii="Times New Roman" w:hAnsi="Times New Roman" w:cs="Times New Roman"/>
        </w:rPr>
        <w:t>a seguinte classificação: Funcional Programática:</w:t>
      </w:r>
      <w:r w:rsidR="00C07160">
        <w:rPr>
          <w:rFonts w:ascii="Times New Roman" w:hAnsi="Times New Roman" w:cs="Times New Roman"/>
        </w:rPr>
        <w:t xml:space="preserve"> </w:t>
      </w:r>
      <w:r w:rsidRPr="00C07160">
        <w:rPr>
          <w:rFonts w:ascii="Times New Roman" w:hAnsi="Times New Roman" w:cs="Times New Roman"/>
        </w:rPr>
        <w:t>12.363.2031.20</w:t>
      </w:r>
      <w:proofErr w:type="gramStart"/>
      <w:r w:rsidRPr="00C07160">
        <w:rPr>
          <w:rFonts w:ascii="Times New Roman" w:hAnsi="Times New Roman" w:cs="Times New Roman"/>
        </w:rPr>
        <w:t>RW.</w:t>
      </w:r>
      <w:proofErr w:type="gramEnd"/>
      <w:r w:rsidRPr="00C07160">
        <w:rPr>
          <w:rFonts w:ascii="Times New Roman" w:hAnsi="Times New Roman" w:cs="Times New Roman"/>
        </w:rPr>
        <w:t>0001 Apoio à Formação Profissional e Tecnológica</w:t>
      </w:r>
      <w:r w:rsidR="00C07160">
        <w:rPr>
          <w:rFonts w:ascii="Times New Roman" w:hAnsi="Times New Roman" w:cs="Times New Roman"/>
        </w:rPr>
        <w:t xml:space="preserve"> </w:t>
      </w:r>
      <w:r w:rsidRPr="00C07160">
        <w:rPr>
          <w:rFonts w:ascii="Times New Roman" w:hAnsi="Times New Roman" w:cs="Times New Roman"/>
        </w:rPr>
        <w:t>- PTRES 043935 - Plano Interno QFP05P0601P Bolsa-Formação</w:t>
      </w:r>
      <w:r w:rsidR="00C07160">
        <w:rPr>
          <w:rFonts w:ascii="Times New Roman" w:hAnsi="Times New Roman" w:cs="Times New Roman"/>
        </w:rPr>
        <w:t xml:space="preserve"> </w:t>
      </w:r>
      <w:r w:rsidRPr="00C07160">
        <w:rPr>
          <w:rFonts w:ascii="Times New Roman" w:hAnsi="Times New Roman" w:cs="Times New Roman"/>
        </w:rPr>
        <w:t>PRONATEC Rede Federal.</w:t>
      </w:r>
    </w:p>
    <w:p w:rsidR="00B5513E" w:rsidRPr="00C07160" w:rsidRDefault="00B5513E" w:rsidP="00C07160">
      <w:pPr>
        <w:spacing w:after="0"/>
        <w:ind w:firstLine="1560"/>
        <w:jc w:val="both"/>
        <w:rPr>
          <w:rFonts w:ascii="Times New Roman" w:hAnsi="Times New Roman" w:cs="Times New Roman"/>
        </w:rPr>
      </w:pPr>
      <w:r w:rsidRPr="00C07160">
        <w:rPr>
          <w:rFonts w:ascii="Times New Roman" w:hAnsi="Times New Roman" w:cs="Times New Roman"/>
        </w:rPr>
        <w:t>Art. 2º - Esta Portaria entra em vigor na data de sua assinatura</w:t>
      </w:r>
      <w:r w:rsidR="00C07160">
        <w:rPr>
          <w:rFonts w:ascii="Times New Roman" w:hAnsi="Times New Roman" w:cs="Times New Roman"/>
        </w:rPr>
        <w:t xml:space="preserve"> </w:t>
      </w:r>
      <w:r w:rsidRPr="00C07160">
        <w:rPr>
          <w:rFonts w:ascii="Times New Roman" w:hAnsi="Times New Roman" w:cs="Times New Roman"/>
        </w:rPr>
        <w:t>tornando sem efeito a Portaria nº 19 de 20 de junho de 2012,</w:t>
      </w:r>
      <w:r w:rsidR="00C07160">
        <w:rPr>
          <w:rFonts w:ascii="Times New Roman" w:hAnsi="Times New Roman" w:cs="Times New Roman"/>
        </w:rPr>
        <w:t xml:space="preserve"> </w:t>
      </w:r>
      <w:r w:rsidRPr="00C07160">
        <w:rPr>
          <w:rFonts w:ascii="Times New Roman" w:hAnsi="Times New Roman" w:cs="Times New Roman"/>
        </w:rPr>
        <w:t>publicada do Diário Oficial da União nº 119 do dia 21 de junho de</w:t>
      </w:r>
      <w:r w:rsidR="00C07160">
        <w:rPr>
          <w:rFonts w:ascii="Times New Roman" w:hAnsi="Times New Roman" w:cs="Times New Roman"/>
        </w:rPr>
        <w:t xml:space="preserve"> </w:t>
      </w:r>
      <w:proofErr w:type="gramStart"/>
      <w:r w:rsidRPr="00C07160">
        <w:rPr>
          <w:rFonts w:ascii="Times New Roman" w:hAnsi="Times New Roman" w:cs="Times New Roman"/>
        </w:rPr>
        <w:t>2012 - Seção 1</w:t>
      </w:r>
      <w:proofErr w:type="gramEnd"/>
      <w:r w:rsidRPr="00C07160">
        <w:rPr>
          <w:rFonts w:ascii="Times New Roman" w:hAnsi="Times New Roman" w:cs="Times New Roman"/>
        </w:rPr>
        <w:t xml:space="preserve"> folhas 09 e 10 e republicada no Diário Oficial da</w:t>
      </w:r>
      <w:r w:rsidR="00C07160">
        <w:rPr>
          <w:rFonts w:ascii="Times New Roman" w:hAnsi="Times New Roman" w:cs="Times New Roman"/>
        </w:rPr>
        <w:t xml:space="preserve"> </w:t>
      </w:r>
      <w:r w:rsidRPr="00C07160">
        <w:rPr>
          <w:rFonts w:ascii="Times New Roman" w:hAnsi="Times New Roman" w:cs="Times New Roman"/>
        </w:rPr>
        <w:t>União nº 121 do dia 25 de junho de 2012 - Seção 1 folha 20.</w:t>
      </w:r>
    </w:p>
    <w:p w:rsidR="00B5513E" w:rsidRPr="00C07160" w:rsidRDefault="00B5513E" w:rsidP="00C07160">
      <w:pPr>
        <w:spacing w:after="0"/>
        <w:jc w:val="center"/>
        <w:rPr>
          <w:rFonts w:ascii="Times New Roman" w:hAnsi="Times New Roman" w:cs="Times New Roman"/>
          <w:b/>
        </w:rPr>
      </w:pPr>
      <w:r w:rsidRPr="00C07160">
        <w:rPr>
          <w:rFonts w:ascii="Times New Roman" w:hAnsi="Times New Roman" w:cs="Times New Roman"/>
          <w:b/>
        </w:rPr>
        <w:t>MARCO ANTONIO DE OLIVEIRA</w:t>
      </w:r>
    </w:p>
    <w:p w:rsidR="00D442FB" w:rsidRPr="00C07160" w:rsidRDefault="00B5513E" w:rsidP="00C07160">
      <w:pPr>
        <w:spacing w:after="0"/>
        <w:jc w:val="center"/>
        <w:rPr>
          <w:rFonts w:ascii="Times New Roman" w:hAnsi="Times New Roman" w:cs="Times New Roman"/>
          <w:b/>
        </w:rPr>
      </w:pPr>
      <w:r w:rsidRPr="00C07160">
        <w:rPr>
          <w:rFonts w:ascii="Times New Roman" w:hAnsi="Times New Roman" w:cs="Times New Roman"/>
          <w:b/>
        </w:rPr>
        <w:t>ANEXO 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95"/>
        <w:gridCol w:w="3148"/>
        <w:gridCol w:w="1548"/>
        <w:gridCol w:w="2295"/>
      </w:tblGrid>
      <w:tr w:rsidR="00C07160" w:rsidTr="00866162">
        <w:tc>
          <w:tcPr>
            <w:tcW w:w="2307" w:type="dxa"/>
          </w:tcPr>
          <w:p w:rsidR="00C07160" w:rsidRDefault="00C07160" w:rsidP="008661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7160">
              <w:rPr>
                <w:rFonts w:ascii="Times New Roman" w:hAnsi="Times New Roman" w:cs="Times New Roman"/>
              </w:rPr>
              <w:t>CNPJ</w:t>
            </w:r>
          </w:p>
        </w:tc>
        <w:tc>
          <w:tcPr>
            <w:tcW w:w="3188" w:type="dxa"/>
          </w:tcPr>
          <w:p w:rsidR="00C07160" w:rsidRDefault="00C07160" w:rsidP="008661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7160">
              <w:rPr>
                <w:rFonts w:ascii="Times New Roman" w:hAnsi="Times New Roman" w:cs="Times New Roman"/>
              </w:rPr>
              <w:t>Instituição</w:t>
            </w:r>
          </w:p>
        </w:tc>
        <w:tc>
          <w:tcPr>
            <w:tcW w:w="1424" w:type="dxa"/>
          </w:tcPr>
          <w:p w:rsidR="00C07160" w:rsidRPr="00C07160" w:rsidRDefault="00C07160" w:rsidP="00866162">
            <w:pPr>
              <w:ind w:left="3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7160">
              <w:rPr>
                <w:rFonts w:ascii="Times New Roman" w:hAnsi="Times New Roman" w:cs="Times New Roman"/>
              </w:rPr>
              <w:t>Total</w:t>
            </w:r>
            <w:r w:rsidRPr="00C07160">
              <w:rPr>
                <w:rFonts w:ascii="Times New Roman" w:hAnsi="Times New Roman" w:cs="Times New Roman"/>
              </w:rPr>
              <w:t xml:space="preserve"> </w:t>
            </w:r>
            <w:r w:rsidRPr="00C07160">
              <w:rPr>
                <w:rFonts w:ascii="Times New Roman" w:hAnsi="Times New Roman" w:cs="Times New Roman"/>
              </w:rPr>
              <w:t>Horas</w:t>
            </w:r>
            <w:proofErr w:type="gramEnd"/>
          </w:p>
          <w:p w:rsidR="00C07160" w:rsidRPr="00866162" w:rsidRDefault="00866162" w:rsidP="00866162">
            <w:p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Aluno</w:t>
            </w:r>
          </w:p>
        </w:tc>
        <w:tc>
          <w:tcPr>
            <w:tcW w:w="2303" w:type="dxa"/>
          </w:tcPr>
          <w:p w:rsidR="00C07160" w:rsidRPr="00866162" w:rsidRDefault="00C07160" w:rsidP="00866162">
            <w:pPr>
              <w:ind w:left="878" w:firstLine="26"/>
              <w:jc w:val="both"/>
              <w:rPr>
                <w:rFonts w:ascii="Times New Roman" w:hAnsi="Times New Roman" w:cs="Times New Roman"/>
              </w:rPr>
            </w:pPr>
            <w:r w:rsidRPr="00C07160">
              <w:rPr>
                <w:rFonts w:ascii="Times New Roman" w:hAnsi="Times New Roman" w:cs="Times New Roman"/>
              </w:rPr>
              <w:t>Total (R$)</w:t>
            </w:r>
          </w:p>
        </w:tc>
      </w:tr>
      <w:tr w:rsidR="00C07160" w:rsidTr="00866162">
        <w:tc>
          <w:tcPr>
            <w:tcW w:w="2307" w:type="dxa"/>
          </w:tcPr>
          <w:p w:rsidR="00C07160" w:rsidRDefault="00C07160" w:rsidP="008661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7160">
              <w:rPr>
                <w:rFonts w:ascii="Times New Roman" w:hAnsi="Times New Roman" w:cs="Times New Roman"/>
              </w:rPr>
              <w:t xml:space="preserve">11. 4 0 2 </w:t>
            </w:r>
            <w:proofErr w:type="gramStart"/>
            <w:r w:rsidRPr="00C07160">
              <w:rPr>
                <w:rFonts w:ascii="Times New Roman" w:hAnsi="Times New Roman" w:cs="Times New Roman"/>
              </w:rPr>
              <w:t>8 8</w:t>
            </w:r>
            <w:proofErr w:type="gramEnd"/>
            <w:r w:rsidRPr="00C07160">
              <w:rPr>
                <w:rFonts w:ascii="Times New Roman" w:hAnsi="Times New Roman" w:cs="Times New Roman"/>
              </w:rPr>
              <w:t xml:space="preserve"> 7/ 0 0 0 1 6 0</w:t>
            </w:r>
          </w:p>
        </w:tc>
        <w:tc>
          <w:tcPr>
            <w:tcW w:w="3188" w:type="dxa"/>
          </w:tcPr>
          <w:p w:rsidR="00C07160" w:rsidRDefault="00C07160" w:rsidP="008661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7160">
              <w:rPr>
                <w:rFonts w:ascii="Times New Roman" w:hAnsi="Times New Roman" w:cs="Times New Roman"/>
              </w:rPr>
              <w:t>Instituto Federal de Santa Catarina</w:t>
            </w:r>
          </w:p>
        </w:tc>
        <w:tc>
          <w:tcPr>
            <w:tcW w:w="1424" w:type="dxa"/>
          </w:tcPr>
          <w:p w:rsidR="00C07160" w:rsidRPr="00866162" w:rsidRDefault="00C07160" w:rsidP="00866162">
            <w:pPr>
              <w:ind w:right="-385" w:firstLine="1560"/>
              <w:jc w:val="both"/>
              <w:rPr>
                <w:rFonts w:ascii="Times New Roman" w:hAnsi="Times New Roman" w:cs="Times New Roman"/>
              </w:rPr>
            </w:pPr>
            <w:r w:rsidRPr="00C07160">
              <w:rPr>
                <w:rFonts w:ascii="Times New Roman" w:hAnsi="Times New Roman" w:cs="Times New Roman"/>
              </w:rPr>
              <w:t>880.800</w:t>
            </w:r>
          </w:p>
        </w:tc>
        <w:tc>
          <w:tcPr>
            <w:tcW w:w="2303" w:type="dxa"/>
          </w:tcPr>
          <w:p w:rsidR="00C07160" w:rsidRDefault="00C07160" w:rsidP="008661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7160">
              <w:rPr>
                <w:rFonts w:ascii="Times New Roman" w:hAnsi="Times New Roman" w:cs="Times New Roman"/>
              </w:rPr>
              <w:t>7.927.200,00</w:t>
            </w:r>
          </w:p>
        </w:tc>
      </w:tr>
      <w:tr w:rsidR="00C07160" w:rsidTr="00866162">
        <w:tc>
          <w:tcPr>
            <w:tcW w:w="2307" w:type="dxa"/>
          </w:tcPr>
          <w:p w:rsidR="00C07160" w:rsidRDefault="00C07160" w:rsidP="008661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7160">
              <w:rPr>
                <w:rFonts w:ascii="Times New Roman" w:hAnsi="Times New Roman" w:cs="Times New Roman"/>
              </w:rPr>
              <w:t>95.591.764/0001-05</w:t>
            </w:r>
          </w:p>
        </w:tc>
        <w:tc>
          <w:tcPr>
            <w:tcW w:w="3188" w:type="dxa"/>
          </w:tcPr>
          <w:p w:rsidR="00C07160" w:rsidRDefault="00C07160" w:rsidP="008661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7160">
              <w:rPr>
                <w:rFonts w:ascii="Times New Roman" w:hAnsi="Times New Roman" w:cs="Times New Roman"/>
              </w:rPr>
              <w:t>Universidade Federal de Santa Maria</w:t>
            </w:r>
          </w:p>
        </w:tc>
        <w:tc>
          <w:tcPr>
            <w:tcW w:w="1424" w:type="dxa"/>
          </w:tcPr>
          <w:p w:rsidR="00C07160" w:rsidRDefault="00C07160" w:rsidP="00866162">
            <w:pPr>
              <w:ind w:left="452" w:right="-385"/>
              <w:jc w:val="both"/>
              <w:rPr>
                <w:rFonts w:ascii="Times New Roman" w:hAnsi="Times New Roman" w:cs="Times New Roman"/>
                <w:b/>
              </w:rPr>
            </w:pPr>
            <w:r w:rsidRPr="00C07160">
              <w:rPr>
                <w:rFonts w:ascii="Times New Roman" w:hAnsi="Times New Roman" w:cs="Times New Roman"/>
              </w:rPr>
              <w:t>45.000</w:t>
            </w:r>
          </w:p>
        </w:tc>
        <w:tc>
          <w:tcPr>
            <w:tcW w:w="2303" w:type="dxa"/>
          </w:tcPr>
          <w:p w:rsidR="00C07160" w:rsidRPr="00866162" w:rsidRDefault="00866162" w:rsidP="00866162">
            <w:pPr>
              <w:ind w:left="-612" w:firstLine="15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405.000,00</w:t>
            </w:r>
          </w:p>
        </w:tc>
      </w:tr>
      <w:tr w:rsidR="00C07160" w:rsidTr="00866162">
        <w:tc>
          <w:tcPr>
            <w:tcW w:w="2307" w:type="dxa"/>
          </w:tcPr>
          <w:p w:rsidR="00C07160" w:rsidRDefault="00C07160" w:rsidP="008661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7160">
              <w:rPr>
                <w:rFonts w:ascii="Times New Roman" w:hAnsi="Times New Roman" w:cs="Times New Roman"/>
              </w:rPr>
              <w:t>34.621.748/0001-23</w:t>
            </w:r>
          </w:p>
        </w:tc>
        <w:tc>
          <w:tcPr>
            <w:tcW w:w="3188" w:type="dxa"/>
          </w:tcPr>
          <w:p w:rsidR="00C07160" w:rsidRDefault="00C07160" w:rsidP="008661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7160">
              <w:rPr>
                <w:rFonts w:ascii="Times New Roman" w:hAnsi="Times New Roman" w:cs="Times New Roman"/>
              </w:rPr>
              <w:t>Universidade Federal do Pará</w:t>
            </w:r>
          </w:p>
        </w:tc>
        <w:tc>
          <w:tcPr>
            <w:tcW w:w="1424" w:type="dxa"/>
          </w:tcPr>
          <w:p w:rsidR="00C07160" w:rsidRDefault="00C07160" w:rsidP="00866162">
            <w:pPr>
              <w:ind w:left="452" w:right="-385"/>
              <w:jc w:val="both"/>
              <w:rPr>
                <w:rFonts w:ascii="Times New Roman" w:hAnsi="Times New Roman" w:cs="Times New Roman"/>
                <w:b/>
              </w:rPr>
            </w:pPr>
            <w:r w:rsidRPr="00C07160">
              <w:rPr>
                <w:rFonts w:ascii="Times New Roman" w:hAnsi="Times New Roman" w:cs="Times New Roman"/>
              </w:rPr>
              <w:t>20.800</w:t>
            </w:r>
          </w:p>
        </w:tc>
        <w:tc>
          <w:tcPr>
            <w:tcW w:w="2303" w:type="dxa"/>
          </w:tcPr>
          <w:p w:rsidR="00C07160" w:rsidRPr="00866162" w:rsidRDefault="00866162" w:rsidP="00866162">
            <w:pPr>
              <w:ind w:left="-328" w:firstLine="15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187.200,00</w:t>
            </w:r>
          </w:p>
        </w:tc>
      </w:tr>
      <w:tr w:rsidR="00C07160" w:rsidTr="00866162">
        <w:tc>
          <w:tcPr>
            <w:tcW w:w="2307" w:type="dxa"/>
          </w:tcPr>
          <w:p w:rsidR="00C07160" w:rsidRDefault="00C07160" w:rsidP="008661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7160">
              <w:rPr>
                <w:rFonts w:ascii="Times New Roman" w:hAnsi="Times New Roman" w:cs="Times New Roman"/>
              </w:rPr>
              <w:t>05.055.128/0001-76</w:t>
            </w:r>
          </w:p>
        </w:tc>
        <w:tc>
          <w:tcPr>
            <w:tcW w:w="3188" w:type="dxa"/>
          </w:tcPr>
          <w:p w:rsidR="00C07160" w:rsidRDefault="00C07160" w:rsidP="008661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7160">
              <w:rPr>
                <w:rFonts w:ascii="Times New Roman" w:hAnsi="Times New Roman" w:cs="Times New Roman"/>
              </w:rPr>
              <w:t>Universidade Federal de Campina Grande</w:t>
            </w:r>
          </w:p>
        </w:tc>
        <w:tc>
          <w:tcPr>
            <w:tcW w:w="1424" w:type="dxa"/>
          </w:tcPr>
          <w:p w:rsidR="00C07160" w:rsidRDefault="00C07160" w:rsidP="00866162">
            <w:pPr>
              <w:ind w:left="452" w:right="-385"/>
              <w:jc w:val="both"/>
              <w:rPr>
                <w:rFonts w:ascii="Times New Roman" w:hAnsi="Times New Roman" w:cs="Times New Roman"/>
                <w:b/>
              </w:rPr>
            </w:pPr>
            <w:r w:rsidRPr="00C07160">
              <w:rPr>
                <w:rFonts w:ascii="Times New Roman" w:hAnsi="Times New Roman" w:cs="Times New Roman"/>
              </w:rPr>
              <w:t>60.800</w:t>
            </w:r>
          </w:p>
        </w:tc>
        <w:tc>
          <w:tcPr>
            <w:tcW w:w="2303" w:type="dxa"/>
          </w:tcPr>
          <w:p w:rsidR="00C07160" w:rsidRPr="00866162" w:rsidRDefault="00866162" w:rsidP="00866162">
            <w:pPr>
              <w:ind w:left="-328" w:firstLine="15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547.200,00</w:t>
            </w:r>
          </w:p>
        </w:tc>
      </w:tr>
      <w:tr w:rsidR="00C07160" w:rsidTr="00866162">
        <w:tc>
          <w:tcPr>
            <w:tcW w:w="2307" w:type="dxa"/>
          </w:tcPr>
          <w:p w:rsidR="00C07160" w:rsidRDefault="00C07160" w:rsidP="008661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7160">
              <w:rPr>
                <w:rFonts w:ascii="Times New Roman" w:hAnsi="Times New Roman" w:cs="Times New Roman"/>
              </w:rPr>
              <w:t>34.792.077/0001-63</w:t>
            </w:r>
          </w:p>
        </w:tc>
        <w:tc>
          <w:tcPr>
            <w:tcW w:w="3188" w:type="dxa"/>
          </w:tcPr>
          <w:p w:rsidR="00C07160" w:rsidRDefault="00C07160" w:rsidP="008661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7160">
              <w:rPr>
                <w:rFonts w:ascii="Times New Roman" w:hAnsi="Times New Roman" w:cs="Times New Roman"/>
              </w:rPr>
              <w:t>Universidade Federal de Roraima</w:t>
            </w:r>
          </w:p>
        </w:tc>
        <w:tc>
          <w:tcPr>
            <w:tcW w:w="1424" w:type="dxa"/>
          </w:tcPr>
          <w:p w:rsidR="00C07160" w:rsidRDefault="00C07160" w:rsidP="00866162">
            <w:pPr>
              <w:ind w:left="452" w:right="-385"/>
              <w:jc w:val="both"/>
              <w:rPr>
                <w:rFonts w:ascii="Times New Roman" w:hAnsi="Times New Roman" w:cs="Times New Roman"/>
                <w:b/>
              </w:rPr>
            </w:pPr>
            <w:r w:rsidRPr="00C07160">
              <w:rPr>
                <w:rFonts w:ascii="Times New Roman" w:hAnsi="Times New Roman" w:cs="Times New Roman"/>
              </w:rPr>
              <w:t>15.750</w:t>
            </w:r>
          </w:p>
        </w:tc>
        <w:tc>
          <w:tcPr>
            <w:tcW w:w="2303" w:type="dxa"/>
          </w:tcPr>
          <w:p w:rsidR="00C07160" w:rsidRPr="00866162" w:rsidRDefault="00866162" w:rsidP="00866162">
            <w:pPr>
              <w:ind w:left="452" w:firstLine="15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141.750,00</w:t>
            </w:r>
          </w:p>
        </w:tc>
      </w:tr>
      <w:tr w:rsidR="00C07160" w:rsidTr="00866162">
        <w:tc>
          <w:tcPr>
            <w:tcW w:w="2307" w:type="dxa"/>
          </w:tcPr>
          <w:p w:rsidR="00C07160" w:rsidRDefault="00C07160" w:rsidP="008661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7160">
              <w:rPr>
                <w:rFonts w:ascii="Times New Roman" w:hAnsi="Times New Roman" w:cs="Times New Roman"/>
              </w:rPr>
              <w:t>24.365.710/0001-83</w:t>
            </w:r>
          </w:p>
        </w:tc>
        <w:tc>
          <w:tcPr>
            <w:tcW w:w="3188" w:type="dxa"/>
          </w:tcPr>
          <w:p w:rsidR="00C07160" w:rsidRDefault="00C07160" w:rsidP="008661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7160">
              <w:rPr>
                <w:rFonts w:ascii="Times New Roman" w:hAnsi="Times New Roman" w:cs="Times New Roman"/>
              </w:rPr>
              <w:t>Universidade Federal do Rio Grande Norte</w:t>
            </w:r>
          </w:p>
        </w:tc>
        <w:tc>
          <w:tcPr>
            <w:tcW w:w="1424" w:type="dxa"/>
          </w:tcPr>
          <w:p w:rsidR="00C07160" w:rsidRDefault="00C07160" w:rsidP="00866162">
            <w:pPr>
              <w:ind w:left="452" w:right="-385"/>
              <w:jc w:val="both"/>
              <w:rPr>
                <w:rFonts w:ascii="Times New Roman" w:hAnsi="Times New Roman" w:cs="Times New Roman"/>
                <w:b/>
              </w:rPr>
            </w:pPr>
            <w:r w:rsidRPr="00C07160">
              <w:rPr>
                <w:rFonts w:ascii="Times New Roman" w:hAnsi="Times New Roman" w:cs="Times New Roman"/>
              </w:rPr>
              <w:t>336.200</w:t>
            </w:r>
          </w:p>
        </w:tc>
        <w:tc>
          <w:tcPr>
            <w:tcW w:w="2303" w:type="dxa"/>
          </w:tcPr>
          <w:p w:rsidR="00C07160" w:rsidRPr="00866162" w:rsidRDefault="00866162" w:rsidP="00866162">
            <w:pPr>
              <w:ind w:left="452" w:firstLine="15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3.690.000,00</w:t>
            </w:r>
          </w:p>
        </w:tc>
      </w:tr>
      <w:tr w:rsidR="00C07160" w:rsidTr="00866162">
        <w:tc>
          <w:tcPr>
            <w:tcW w:w="2307" w:type="dxa"/>
          </w:tcPr>
          <w:p w:rsidR="00C07160" w:rsidRDefault="00C07160" w:rsidP="008661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7160">
              <w:rPr>
                <w:rFonts w:ascii="Times New Roman" w:hAnsi="Times New Roman" w:cs="Times New Roman"/>
                <w:lang w:val="en-US"/>
              </w:rPr>
              <w:t>37.138.245/0001-90</w:t>
            </w:r>
          </w:p>
        </w:tc>
        <w:tc>
          <w:tcPr>
            <w:tcW w:w="3188" w:type="dxa"/>
          </w:tcPr>
          <w:p w:rsidR="00C07160" w:rsidRDefault="00C07160" w:rsidP="008661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7160">
              <w:rPr>
                <w:rFonts w:ascii="Times New Roman" w:hAnsi="Times New Roman" w:cs="Times New Roman"/>
                <w:lang w:val="en-US"/>
              </w:rPr>
              <w:t>SENAR</w:t>
            </w:r>
          </w:p>
        </w:tc>
        <w:tc>
          <w:tcPr>
            <w:tcW w:w="1424" w:type="dxa"/>
          </w:tcPr>
          <w:p w:rsidR="00C07160" w:rsidRDefault="00C07160" w:rsidP="00866162">
            <w:pPr>
              <w:ind w:left="452"/>
              <w:jc w:val="both"/>
              <w:rPr>
                <w:rFonts w:ascii="Times New Roman" w:hAnsi="Times New Roman" w:cs="Times New Roman"/>
                <w:b/>
              </w:rPr>
            </w:pPr>
            <w:r w:rsidRPr="00C07160">
              <w:rPr>
                <w:rFonts w:ascii="Times New Roman" w:hAnsi="Times New Roman" w:cs="Times New Roman"/>
                <w:lang w:val="en-US"/>
              </w:rPr>
              <w:t>2.626.400</w:t>
            </w:r>
          </w:p>
        </w:tc>
        <w:tc>
          <w:tcPr>
            <w:tcW w:w="2303" w:type="dxa"/>
          </w:tcPr>
          <w:p w:rsidR="00C07160" w:rsidRPr="00866162" w:rsidRDefault="00866162" w:rsidP="00866162">
            <w:pPr>
              <w:ind w:left="452" w:firstLine="15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23.637.600,00</w:t>
            </w:r>
          </w:p>
        </w:tc>
      </w:tr>
      <w:tr w:rsidR="00C07160" w:rsidTr="00866162">
        <w:tc>
          <w:tcPr>
            <w:tcW w:w="5495" w:type="dxa"/>
            <w:gridSpan w:val="2"/>
          </w:tcPr>
          <w:p w:rsidR="00C07160" w:rsidRPr="00C07160" w:rsidRDefault="00C07160" w:rsidP="00866162">
            <w:pPr>
              <w:jc w:val="both"/>
            </w:pPr>
            <w:r w:rsidRPr="00C07160">
              <w:rPr>
                <w:rFonts w:ascii="Times New Roman" w:hAnsi="Times New Roman" w:cs="Times New Roman"/>
                <w:lang w:val="en-US"/>
              </w:rPr>
              <w:t>Total</w:t>
            </w:r>
          </w:p>
        </w:tc>
        <w:tc>
          <w:tcPr>
            <w:tcW w:w="1424" w:type="dxa"/>
          </w:tcPr>
          <w:p w:rsidR="00C07160" w:rsidRDefault="00C07160" w:rsidP="00866162">
            <w:pPr>
              <w:ind w:left="452"/>
              <w:jc w:val="both"/>
              <w:rPr>
                <w:rFonts w:ascii="Times New Roman" w:hAnsi="Times New Roman" w:cs="Times New Roman"/>
                <w:b/>
              </w:rPr>
            </w:pPr>
            <w:r w:rsidRPr="00C07160">
              <w:rPr>
                <w:rFonts w:ascii="Times New Roman" w:hAnsi="Times New Roman" w:cs="Times New Roman"/>
                <w:lang w:val="en-US"/>
              </w:rPr>
              <w:t>3.985.750</w:t>
            </w:r>
          </w:p>
        </w:tc>
        <w:tc>
          <w:tcPr>
            <w:tcW w:w="2303" w:type="dxa"/>
          </w:tcPr>
          <w:p w:rsidR="00C07160" w:rsidRPr="00866162" w:rsidRDefault="00C07160" w:rsidP="00866162">
            <w:pPr>
              <w:ind w:left="452" w:firstLine="156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07160">
              <w:rPr>
                <w:rFonts w:ascii="Times New Roman" w:hAnsi="Times New Roman" w:cs="Times New Roman"/>
                <w:lang w:val="en-US"/>
              </w:rPr>
              <w:t>36.535.950,00</w:t>
            </w:r>
          </w:p>
        </w:tc>
      </w:tr>
    </w:tbl>
    <w:p w:rsidR="00866162" w:rsidRPr="00C408CF" w:rsidRDefault="00866162" w:rsidP="0086616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408CF">
        <w:rPr>
          <w:rFonts w:ascii="Times New Roman" w:hAnsi="Times New Roman" w:cs="Times New Roman"/>
          <w:b/>
          <w:i/>
        </w:rPr>
        <w:t xml:space="preserve">(Publicação no DOU n. º </w:t>
      </w:r>
      <w:r>
        <w:rPr>
          <w:rFonts w:ascii="Times New Roman" w:hAnsi="Times New Roman" w:cs="Times New Roman"/>
          <w:b/>
          <w:i/>
        </w:rPr>
        <w:t>123</w:t>
      </w:r>
      <w:r w:rsidRPr="00C408CF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27.06</w:t>
      </w:r>
      <w:r w:rsidRPr="00C408CF">
        <w:rPr>
          <w:rFonts w:ascii="Times New Roman" w:hAnsi="Times New Roman" w:cs="Times New Roman"/>
          <w:b/>
          <w:i/>
        </w:rPr>
        <w:t xml:space="preserve">.2012, Seção 1, página </w:t>
      </w:r>
      <w:proofErr w:type="gramStart"/>
      <w:r>
        <w:rPr>
          <w:rFonts w:ascii="Times New Roman" w:hAnsi="Times New Roman" w:cs="Times New Roman"/>
          <w:b/>
          <w:i/>
        </w:rPr>
        <w:t>11</w:t>
      </w:r>
      <w:r w:rsidRPr="00C408CF">
        <w:rPr>
          <w:rFonts w:ascii="Times New Roman" w:hAnsi="Times New Roman" w:cs="Times New Roman"/>
          <w:b/>
          <w:i/>
        </w:rPr>
        <w:t>)</w:t>
      </w:r>
      <w:proofErr w:type="gramEnd"/>
    </w:p>
    <w:p w:rsidR="00866162" w:rsidRPr="00C07160" w:rsidRDefault="00866162" w:rsidP="00866162">
      <w:pPr>
        <w:spacing w:after="0"/>
        <w:rPr>
          <w:rFonts w:ascii="Times New Roman" w:hAnsi="Times New Roman" w:cs="Times New Roman"/>
          <w:b/>
        </w:rPr>
      </w:pPr>
    </w:p>
    <w:sectPr w:rsidR="00866162" w:rsidRPr="00C07160" w:rsidSect="00C0716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3E"/>
    <w:rsid w:val="003607FD"/>
    <w:rsid w:val="00866162"/>
    <w:rsid w:val="00B5513E"/>
    <w:rsid w:val="00C07160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7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7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31F46-C1F5-4B99-949E-61EE4B62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2012-06-27T11:28:00Z</dcterms:created>
  <dcterms:modified xsi:type="dcterms:W3CDTF">2012-06-27T11:28:00Z</dcterms:modified>
</cp:coreProperties>
</file>