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B9" w:rsidRP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t>MINISTÉRIO DA EDUCAÇÃO</w:t>
      </w:r>
    </w:p>
    <w:p w:rsidR="00DC7EB9" w:rsidRP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t>GABINETE DO MINISTRO</w:t>
      </w:r>
    </w:p>
    <w:p w:rsidR="00DC7EB9" w:rsidRP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DC7EB9">
        <w:rPr>
          <w:rFonts w:ascii="Times New Roman" w:hAnsi="Times New Roman" w:cs="Times New Roman"/>
          <w:b/>
        </w:rPr>
        <w:t xml:space="preserve"> 12, DE </w:t>
      </w:r>
      <w:proofErr w:type="gramStart"/>
      <w:r w:rsidRPr="00DC7EB9">
        <w:rPr>
          <w:rFonts w:ascii="Times New Roman" w:hAnsi="Times New Roman" w:cs="Times New Roman"/>
          <w:b/>
        </w:rPr>
        <w:t>7</w:t>
      </w:r>
      <w:proofErr w:type="gramEnd"/>
      <w:r w:rsidRPr="00DC7EB9">
        <w:rPr>
          <w:rFonts w:ascii="Times New Roman" w:hAnsi="Times New Roman" w:cs="Times New Roman"/>
          <w:b/>
        </w:rPr>
        <w:t xml:space="preserve"> DE MAIO DE 2014</w:t>
      </w:r>
    </w:p>
    <w:p w:rsidR="00DC7EB9" w:rsidRDefault="00DC7EB9" w:rsidP="00DC7E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C7EB9" w:rsidRDefault="00DC7EB9" w:rsidP="00DC7E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Regulamenta o art. 11 da Lei n</w:t>
      </w:r>
      <w:r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11.180, de</w:t>
      </w:r>
      <w:r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23 de setembro de 2005, alterada pela Lei</w:t>
      </w:r>
      <w:r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12.431, de 24 de junho de 2011.</w:t>
      </w:r>
    </w:p>
    <w:p w:rsidR="00DC7EB9" w:rsidRPr="00DC7EB9" w:rsidRDefault="00DC7EB9" w:rsidP="00DC7E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O MINISTRO DE ESTADO DA EDUCAÇÃO, no uso da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atribuição que lhe confere o art. 87, parágrafo único, inciso II, da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Constituição, e tendo em vista o disposto na Lei 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11.096, de 13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janeiro de 2005, na Lei 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11.180, de 23 de setembro de 2005, na Lei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5.537, de 21 de novembro de 1968, e no Decreto 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5.493, de 18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de julho de 2005, resolve:</w:t>
      </w:r>
    </w:p>
    <w:p w:rsidR="00842316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1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A bolsa permanência, estabelecida pelo art. 11 da Lei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n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11.180, de 2005, é um benefício em valor não inferior ao praticado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na política federal de concessão de bolsas de iniciação científica,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destinada a custear despesas educacionais de estudantes que usufruam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bolsa integral do Programa Universidade para Todos -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>, 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estejam matriculados em curso presencial de turno integral.</w:t>
      </w:r>
      <w:r w:rsidR="00842316">
        <w:rPr>
          <w:rFonts w:ascii="Times New Roman" w:hAnsi="Times New Roman" w:cs="Times New Roman"/>
        </w:rPr>
        <w:t xml:space="preserve"> 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 1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Para fins do disposto no caput, entende-se como turno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integral o curso com prazo mínimo de integralização de seis semestres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 carga horária média igual ou superior a seis horas diárias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aula, nos termos do subitem 5.4 do Anexo da Portaria Normativa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MEC n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40, de 12 de dezembro de 2007.</w:t>
      </w:r>
    </w:p>
    <w:p w:rsidR="00842316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 2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 cálculo da carga horária média referida no parágrafo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anterior será feito de acordo com a seguinte fórmula:</w:t>
      </w:r>
      <w:r w:rsidR="00842316">
        <w:rPr>
          <w:rFonts w:ascii="Times New Roman" w:hAnsi="Times New Roman" w:cs="Times New Roman"/>
        </w:rPr>
        <w:t xml:space="preserve"> 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CHM = CTM / AMC X DLA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7EB9">
        <w:rPr>
          <w:rFonts w:ascii="Times New Roman" w:hAnsi="Times New Roman" w:cs="Times New Roman"/>
        </w:rPr>
        <w:t>onde</w:t>
      </w:r>
      <w:proofErr w:type="gramEnd"/>
      <w:r w:rsidRPr="00DC7EB9">
        <w:rPr>
          <w:rFonts w:ascii="Times New Roman" w:hAnsi="Times New Roman" w:cs="Times New Roman"/>
        </w:rPr>
        <w:t>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CHM é a carga horária média diária de aulas;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CTM é a carga horária mínima para completar o curso;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AMC é o número mínimo, em anos, exigido para integralizar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o curso; </w:t>
      </w:r>
      <w:proofErr w:type="gramStart"/>
      <w:r w:rsidRPr="00DC7EB9">
        <w:rPr>
          <w:rFonts w:ascii="Times New Roman" w:hAnsi="Times New Roman" w:cs="Times New Roman"/>
        </w:rPr>
        <w:t>e</w:t>
      </w:r>
      <w:proofErr w:type="gramEnd"/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DLA é o número de dias letivos do ano, estabelecidos nos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moldes do art. 47 da Lei n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9.394, de 20 de dezembro de 1996.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2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 pagamento da bolsa permanência será executado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pelo Fundo Nacional de Desenvolvimento da Educação - FNDE, por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solicitação da Secretaria de Educação Superior do Ministério da Educação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/MEC, de acordo com o disposto na Lei n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5.537,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1968, na Lei n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11.180, de 2005, com as alterações feitas pela Lei n</w:t>
      </w:r>
      <w:r w:rsidR="00442A22">
        <w:rPr>
          <w:rFonts w:ascii="Times New Roman" w:hAnsi="Times New Roman" w:cs="Times New Roman"/>
        </w:rPr>
        <w:t>º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12.801, de 24 de abril 2013, nos procedimentos estabelecidos nesta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Portaria e em resolução própria do FNDE.</w:t>
      </w:r>
    </w:p>
    <w:p w:rsidR="00842316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Parágrafo único. O valor da bolsa permanência será estabelecido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por resolução do FNDE, com base em manifestação técnica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da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/MEC, consoante o disposto no art. 1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desta Portaria.</w:t>
      </w:r>
      <w:r w:rsidR="00842316">
        <w:rPr>
          <w:rFonts w:ascii="Times New Roman" w:hAnsi="Times New Roman" w:cs="Times New Roman"/>
        </w:rPr>
        <w:t xml:space="preserve"> 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3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 recebimento da bolsa permanência cessará em caso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de encerramento ou de suspensão da bolsa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>, pelo período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em que permanecer suspensa, observado o disposto na Portaria Normativa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MEC n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19, de 20 de novembro de 2008.</w:t>
      </w:r>
    </w:p>
    <w:p w:rsidR="003262B3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Parágrafo único. É vedada a acumulação da bolsa permanência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de que trata esta Portaria com quaisquer outras bolsas destinadas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ao custeio de despesas educacionais, mantidas com recursos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públicos de quaisquer das esferas federativas.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4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A seleção dos beneficiários da bolsa permanência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será realizada automaticamente, por meio do Sistema Informatizado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- </w:t>
      </w:r>
      <w:proofErr w:type="spellStart"/>
      <w:r w:rsidRPr="00DC7EB9">
        <w:rPr>
          <w:rFonts w:ascii="Times New Roman" w:hAnsi="Times New Roman" w:cs="Times New Roman"/>
        </w:rPr>
        <w:t>Sisprouni</w:t>
      </w:r>
      <w:proofErr w:type="spellEnd"/>
      <w:r w:rsidRPr="00DC7EB9">
        <w:rPr>
          <w:rFonts w:ascii="Times New Roman" w:hAnsi="Times New Roman" w:cs="Times New Roman"/>
        </w:rPr>
        <w:t>, no primeiro dia útil de cada mês, observado 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disposto nos </w:t>
      </w:r>
      <w:proofErr w:type="spellStart"/>
      <w:r w:rsidRPr="00DC7EB9">
        <w:rPr>
          <w:rFonts w:ascii="Times New Roman" w:hAnsi="Times New Roman" w:cs="Times New Roman"/>
        </w:rPr>
        <w:t>arts</w:t>
      </w:r>
      <w:proofErr w:type="spellEnd"/>
      <w:r w:rsidRPr="00DC7EB9">
        <w:rPr>
          <w:rFonts w:ascii="Times New Roman" w:hAnsi="Times New Roman" w:cs="Times New Roman"/>
        </w:rPr>
        <w:t>. 1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a </w:t>
      </w:r>
      <w:r w:rsidRPr="00442A22">
        <w:rPr>
          <w:rFonts w:ascii="Times New Roman" w:hAnsi="Times New Roman" w:cs="Times New Roman"/>
        </w:rPr>
        <w:t>3</w:t>
      </w:r>
      <w:r w:rsidR="00442A22">
        <w:rPr>
          <w:rFonts w:ascii="Times New Roman" w:hAnsi="Times New Roman" w:cs="Times New Roman"/>
        </w:rPr>
        <w:t xml:space="preserve">º </w:t>
      </w:r>
      <w:r w:rsidRPr="00DC7EB9">
        <w:rPr>
          <w:rFonts w:ascii="Times New Roman" w:hAnsi="Times New Roman" w:cs="Times New Roman"/>
        </w:rPr>
        <w:t>e 8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desta Portaria, assim como a disponibilidade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orçamentária e financeira do Ministério da Educação -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MEC.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 1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 pagamento da bolsa permanência está condicionado: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 - à assinatura, pelo beneficiário, do respectivo Termo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Concessão;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II - à emissão, pelo coordenador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na Instituição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Ensino Superior - IES, da Relação Mensal dos Beneficiários da Bolsa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Permanência, até o dia 15 de cada mês, por meio de assinatura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digital.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 2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A assinatura do Termo de Concessão da Bolsa Permanência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assegurará apenas a expectativa de direito ao recebimento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mensal do benefício, ficando o seu efetivo pagamento </w:t>
      </w:r>
      <w:r w:rsidRPr="00DC7EB9">
        <w:rPr>
          <w:rFonts w:ascii="Times New Roman" w:hAnsi="Times New Roman" w:cs="Times New Roman"/>
        </w:rPr>
        <w:lastRenderedPageBreak/>
        <w:t>condicionado à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observância do disposto nesta Portaria, assim como às demais disposições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legais pertinentes.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 3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Os recursos orçamentários e financeiros disponíveis para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 pagamento da bolsa permanência serão alocados aos estudantes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acordo com a seguinte ordem de prioridade: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 - processo seletivo de ingresso no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mais antigo;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 - dentre os estudantes beneficiados em um mesmo processo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seletivo, a ordem decrescente da média aritmética obtida nas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provas do Exame Nacional do Ensino Médio - Enem, consideradas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para efeito de seleção para a bolsa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>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III - no caso de serem idênticas </w:t>
      </w:r>
      <w:proofErr w:type="gramStart"/>
      <w:r w:rsidRPr="00DC7EB9">
        <w:rPr>
          <w:rFonts w:ascii="Times New Roman" w:hAnsi="Times New Roman" w:cs="Times New Roman"/>
        </w:rPr>
        <w:t>as</w:t>
      </w:r>
      <w:proofErr w:type="gramEnd"/>
      <w:r w:rsidRPr="00DC7EB9">
        <w:rPr>
          <w:rFonts w:ascii="Times New Roman" w:hAnsi="Times New Roman" w:cs="Times New Roman"/>
        </w:rPr>
        <w:t xml:space="preserve"> médias referidas no inciso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II, o desempate entre os candidatos será determinado de acordo com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 seguinte ordem de critérios: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a) maior nota na redação;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b) maior nota na prova de Linguagens, Códigos e suas Tecnologias;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c) maior nota na prova de Matemática e suas Tecnologias;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d) maior nota na prova de Ciências da Natureza e suas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Tecnologias;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e) maior nota na prova de Ciências Humanas e suas Tecnologias.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 4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Não haverá pagamento retroativo da bolsa permanência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 qualquer bolsista, salvo em caso de inviabilidade na execução: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 - dos procedimentos operacionais de cadastramento; </w:t>
      </w:r>
      <w:proofErr w:type="gramStart"/>
      <w:r w:rsidRPr="00DC7EB9">
        <w:rPr>
          <w:rFonts w:ascii="Times New Roman" w:hAnsi="Times New Roman" w:cs="Times New Roman"/>
        </w:rPr>
        <w:t>ou</w:t>
      </w:r>
      <w:proofErr w:type="gramEnd"/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 - de pagamento, devido à inconsistência de processamento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que não tenha sido causada por ato comissivo ou omissivo de responsabilidade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da IES, do coordenador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ou do beneficiário.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5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A concessão e o pagamento da bolsa permanência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envolvem os seguintes agentes: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 - a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II - o FNDE; </w:t>
      </w:r>
      <w:proofErr w:type="gramStart"/>
      <w:r w:rsidRPr="00DC7EB9">
        <w:rPr>
          <w:rFonts w:ascii="Times New Roman" w:hAnsi="Times New Roman" w:cs="Times New Roman"/>
        </w:rPr>
        <w:t>e</w:t>
      </w:r>
      <w:proofErr w:type="gramEnd"/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III - as IES.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6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Compete à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 - designar, por portaria, os servidores que, no âmbito 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MEC, serão responsáveis por homologar as autorizações para pagamento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mensal da bolsa permanência a serem encaminhadas ao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FNDE;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 - coordenar o desenvolvimento, a atualização e a manutenção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do módulo do </w:t>
      </w:r>
      <w:proofErr w:type="spellStart"/>
      <w:r w:rsidRPr="00DC7EB9">
        <w:rPr>
          <w:rFonts w:ascii="Times New Roman" w:hAnsi="Times New Roman" w:cs="Times New Roman"/>
        </w:rPr>
        <w:t>Sisprouni</w:t>
      </w:r>
      <w:proofErr w:type="spellEnd"/>
      <w:r w:rsidRPr="00DC7EB9">
        <w:rPr>
          <w:rFonts w:ascii="Times New Roman" w:hAnsi="Times New Roman" w:cs="Times New Roman"/>
        </w:rPr>
        <w:t xml:space="preserve"> específico para acompanhar a concessão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da bolsa permanência;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III - fornecer ao FNDE as metas anuais para o pagamento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bolsas do programa e sua respectiva previsão de desembolso, bem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como a estimativa da distribuição mensal de tais metas e dos respectivos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recursos financeiros;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IV - transmitir eletronicamente ao sistema de pagamento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bolsas do FNDE os cadastros dos bolsistas que tenham assinado 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Termo de Concessão de Bolsa Permanência;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 - monitorar a emissão da Relação Mensal dos Beneficiários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da Bolsa Permanência pelos coordenadores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em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cada uma das IES participantes;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VI - homologar, por meio de certificação digital, a Lista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Pagamento Mensal com a relação dos bolsistas aptos ao recebimento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da bolsa e transmiti-la eletronicamente ao sistema de pagamento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bolsas do FNDE;</w:t>
      </w:r>
    </w:p>
    <w:p w:rsidR="00842316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VII - gerar e transmitir ao FNDE, por meio de sistema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informatizado, as alterações cadastrais de bolsistas;</w:t>
      </w:r>
      <w:r w:rsidR="00842316">
        <w:rPr>
          <w:rFonts w:ascii="Times New Roman" w:hAnsi="Times New Roman" w:cs="Times New Roman"/>
        </w:rPr>
        <w:t xml:space="preserve"> 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VIII - solicitar oficialmente ao FNDE a interrupção ou 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cancelamento do pagamento de bolsa ao beneficiário, quando for 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caso;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IX - notificar as IES, com cópia ao FNDE, acerca de eventuais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casos de exigência de restituição de valores recebidos indevidamente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por bolsista; </w:t>
      </w:r>
      <w:proofErr w:type="gramStart"/>
      <w:r w:rsidRPr="00DC7EB9">
        <w:rPr>
          <w:rFonts w:ascii="Times New Roman" w:hAnsi="Times New Roman" w:cs="Times New Roman"/>
        </w:rPr>
        <w:t>e</w:t>
      </w:r>
      <w:proofErr w:type="gramEnd"/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X - informar tempestivamente ao FNDE sobre quaisquer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ocorrências que possam ter implicações no pagamento da bolsa permanência.</w:t>
      </w:r>
      <w:r w:rsidR="00842316">
        <w:rPr>
          <w:rFonts w:ascii="Times New Roman" w:hAnsi="Times New Roman" w:cs="Times New Roman"/>
        </w:rPr>
        <w:t xml:space="preserve"> 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7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Compete ao FNDE: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 - executar as ações necessárias para o pagamento das bolsas;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II - elaborar, em conjunto com a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/MEC, os atos normativos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relativos ao pagamento de bolsas do programa;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III - suspender ou cancelar o pagamento da bolsa por solicitação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da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lastRenderedPageBreak/>
        <w:t xml:space="preserve">IV - prestar informações à </w:t>
      </w:r>
      <w:proofErr w:type="spellStart"/>
      <w:proofErr w:type="gramStart"/>
      <w:r w:rsidRPr="00DC7EB9">
        <w:rPr>
          <w:rFonts w:ascii="Times New Roman" w:hAnsi="Times New Roman" w:cs="Times New Roman"/>
        </w:rPr>
        <w:t>SESu</w:t>
      </w:r>
      <w:proofErr w:type="spellEnd"/>
      <w:proofErr w:type="gramEnd"/>
      <w:r w:rsidRPr="00DC7EB9">
        <w:rPr>
          <w:rFonts w:ascii="Times New Roman" w:hAnsi="Times New Roman" w:cs="Times New Roman"/>
        </w:rPr>
        <w:t>/MEC sempre que solicitadas;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 - divulgar, no portal www.fnde.gov.br, os nomes dos beneficiários,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os valores pagos a cada um deles e as IES em que estão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matriculados.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8º Compete às IES, por intermédio de seu coordenador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ou seus respectivos representantes: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 - emitir o Termo de Concessão da Bolsa Permanência;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II - cadastrar no </w:t>
      </w:r>
      <w:proofErr w:type="spellStart"/>
      <w:r w:rsidRPr="00DC7EB9">
        <w:rPr>
          <w:rFonts w:ascii="Times New Roman" w:hAnsi="Times New Roman" w:cs="Times New Roman"/>
        </w:rPr>
        <w:t>Sisprouni</w:t>
      </w:r>
      <w:proofErr w:type="spellEnd"/>
      <w:r w:rsidRPr="00DC7EB9">
        <w:rPr>
          <w:rFonts w:ascii="Times New Roman" w:hAnsi="Times New Roman" w:cs="Times New Roman"/>
        </w:rPr>
        <w:t xml:space="preserve"> os dados do bolsista a ser beneficiado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pela bolsa permanência, mantendo os referidos registros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mensalmente atualizados;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III - emitir a Relação Mensal dos Beneficiários da Bolsa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Permanência até o dia 15 de cada mês, por meio de assinatura digital;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IV - dar publicidade a todo o seu corpo discente, mediante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afixação em locais de grande circulação de estudantes e em seus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endereços eletrônicos na internet: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a) do inteiro teor desta Portaria;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b) da Lei 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11.180, de 2005; </w:t>
      </w:r>
      <w:proofErr w:type="gramStart"/>
      <w:r w:rsidRPr="00DC7EB9">
        <w:rPr>
          <w:rFonts w:ascii="Times New Roman" w:hAnsi="Times New Roman" w:cs="Times New Roman"/>
        </w:rPr>
        <w:t>e</w:t>
      </w:r>
      <w:proofErr w:type="gramEnd"/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c) da relação mensal de bolsistas aptos ao recebimento da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bolsa permanência.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Parágrafo único. Somente receberão a bolsa permanência 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estudantes que tenham sido cadastrados regular e tempestivamente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pelo coordenador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>, conforme disposto neste artigo.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9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 direito ao recebimento da bolsa permanência cessará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nos seguintes casos: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 - encerramento da bolsa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>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II - transferência do bolsista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para curso que não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atenda aos critérios de concessão da bolsa permanência, explicitados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no art. 1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desta Portaria;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III - diminuição, pela IES, da carga horária do curso em que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 beneficiário está matriculado e que comprometa o atendimento aos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critérios estabelecidos no art. 1</w:t>
      </w:r>
      <w:r w:rsidR="00442A22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desta Portaria;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IV - constatação de acúmulo da bolsa permanência com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outros tipos de bolsa, nos termos do parágrafo único do art. 3o desta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Portaria.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 - constatação de inidoneidade de documento apresentado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ou falsidade de informação prestada pelo estudante na obtenção da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bolsa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>; ou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VI - solicitação do estudante beneficiado.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Parágrafo único. Nos casos de ocorrência de qualquer hipótese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de pagamento indevido de bolsa permanência, o estudante que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se beneficiou dos valores indevidamente pagos deverá proceder à sua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devolução por meio de Guia de Recolhimento da União - GRU, sem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prejuízo das sanções administrativas, cíveis e penais </w:t>
      </w:r>
      <w:proofErr w:type="gramStart"/>
      <w:r w:rsidRPr="00DC7EB9">
        <w:rPr>
          <w:rFonts w:ascii="Times New Roman" w:hAnsi="Times New Roman" w:cs="Times New Roman"/>
        </w:rPr>
        <w:t>cabíveis, respeitado</w:t>
      </w:r>
      <w:proofErr w:type="gramEnd"/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 direito ao contraditório e à ampla defesa, nos moldes estabelecidos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pela Lei 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9.784, de 29 de janeiro de 1999.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10. Para fins de concessão da bolsa permanência de que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trata esta Portaria, serão consideradas as informações registradas pela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IES no Cadastro </w:t>
      </w:r>
      <w:proofErr w:type="spellStart"/>
      <w:r w:rsidRPr="00DC7EB9">
        <w:rPr>
          <w:rFonts w:ascii="Times New Roman" w:hAnsi="Times New Roman" w:cs="Times New Roman"/>
        </w:rPr>
        <w:t>e-MEC</w:t>
      </w:r>
      <w:proofErr w:type="spellEnd"/>
      <w:r w:rsidRPr="00DC7EB9">
        <w:rPr>
          <w:rFonts w:ascii="Times New Roman" w:hAnsi="Times New Roman" w:cs="Times New Roman"/>
        </w:rPr>
        <w:t>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 xml:space="preserve">Parágrafo único. É de responsabilidade </w:t>
      </w:r>
      <w:proofErr w:type="gramStart"/>
      <w:r w:rsidRPr="00DC7EB9">
        <w:rPr>
          <w:rFonts w:ascii="Times New Roman" w:hAnsi="Times New Roman" w:cs="Times New Roman"/>
        </w:rPr>
        <w:t>da IES assegurar</w:t>
      </w:r>
      <w:proofErr w:type="gramEnd"/>
      <w:r w:rsidRPr="00DC7EB9">
        <w:rPr>
          <w:rFonts w:ascii="Times New Roman" w:hAnsi="Times New Roman" w:cs="Times New Roman"/>
        </w:rPr>
        <w:t xml:space="preserve"> 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regularidade das informações constantes do Cadastro </w:t>
      </w:r>
      <w:proofErr w:type="spellStart"/>
      <w:r w:rsidRPr="00DC7EB9">
        <w:rPr>
          <w:rFonts w:ascii="Times New Roman" w:hAnsi="Times New Roman" w:cs="Times New Roman"/>
        </w:rPr>
        <w:t>e-MEC</w:t>
      </w:r>
      <w:proofErr w:type="spellEnd"/>
      <w:r w:rsidRPr="00DC7EB9">
        <w:rPr>
          <w:rFonts w:ascii="Times New Roman" w:hAnsi="Times New Roman" w:cs="Times New Roman"/>
        </w:rPr>
        <w:t xml:space="preserve"> e, se for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o caso, proceder às alterações cabíveis.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11. Os procedimentos operacionais da bolsa permanência,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de competência do coordenador do </w:t>
      </w:r>
      <w:proofErr w:type="spellStart"/>
      <w:proofErr w:type="gramStart"/>
      <w:r w:rsidRPr="00DC7EB9">
        <w:rPr>
          <w:rFonts w:ascii="Times New Roman" w:hAnsi="Times New Roman" w:cs="Times New Roman"/>
        </w:rPr>
        <w:t>ProUni</w:t>
      </w:r>
      <w:proofErr w:type="spellEnd"/>
      <w:proofErr w:type="gramEnd"/>
      <w:r w:rsidRPr="00DC7EB9">
        <w:rPr>
          <w:rFonts w:ascii="Times New Roman" w:hAnsi="Times New Roman" w:cs="Times New Roman"/>
        </w:rPr>
        <w:t xml:space="preserve"> e seus representantes,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 xml:space="preserve">serão efetuados exclusivamente por meio do </w:t>
      </w:r>
      <w:proofErr w:type="spellStart"/>
      <w:r w:rsidRPr="00DC7EB9">
        <w:rPr>
          <w:rFonts w:ascii="Times New Roman" w:hAnsi="Times New Roman" w:cs="Times New Roman"/>
        </w:rPr>
        <w:t>Sisprouni</w:t>
      </w:r>
      <w:proofErr w:type="spellEnd"/>
      <w:r w:rsidRPr="00DC7EB9">
        <w:rPr>
          <w:rFonts w:ascii="Times New Roman" w:hAnsi="Times New Roman" w:cs="Times New Roman"/>
        </w:rPr>
        <w:t>, sendo sua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validade condicionada à sua assinatura digital, no âmbito da Infraestrutura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de Chaves Públicas Brasileira - ICP-Brasil.</w:t>
      </w:r>
    </w:p>
    <w:p w:rsidR="00DC7EB9" w:rsidRPr="00DC7EB9" w:rsidRDefault="00DC7EB9" w:rsidP="00DC7E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12. Fica revogada a Portaria MEC n</w:t>
      </w:r>
      <w:r w:rsidR="0064192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19, de 14 de</w:t>
      </w:r>
      <w:r w:rsidR="00842316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setembro de 2011.</w:t>
      </w:r>
    </w:p>
    <w:p w:rsid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t>JOSÉ HENRIQUE PAIM FERNANDES</w:t>
      </w:r>
    </w:p>
    <w:p w:rsid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B33" w:rsidRDefault="006F3B33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EB9" w:rsidRPr="00C14642" w:rsidRDefault="00C14642" w:rsidP="00DC7E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4642">
        <w:rPr>
          <w:rFonts w:ascii="Times New Roman" w:hAnsi="Times New Roman" w:cs="Times New Roman"/>
          <w:b/>
          <w:i/>
        </w:rPr>
        <w:t>(Publicação no DOU n.º 86, de 08.05.2014, Seção 1, página 22/23</w:t>
      </w:r>
      <w:proofErr w:type="gramStart"/>
      <w:r w:rsidRPr="00C14642">
        <w:rPr>
          <w:rFonts w:ascii="Times New Roman" w:hAnsi="Times New Roman" w:cs="Times New Roman"/>
          <w:b/>
          <w:i/>
        </w:rPr>
        <w:t>)</w:t>
      </w:r>
      <w:proofErr w:type="gramEnd"/>
    </w:p>
    <w:p w:rsid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B33" w:rsidRDefault="006F3B33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B33" w:rsidRDefault="006F3B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3B33" w:rsidRPr="00DC7EB9" w:rsidRDefault="006F3B33" w:rsidP="006F3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lastRenderedPageBreak/>
        <w:t>MINISTÉRIO DA EDUCAÇÃO</w:t>
      </w:r>
    </w:p>
    <w:p w:rsidR="006F3B33" w:rsidRPr="00DC7EB9" w:rsidRDefault="006F3B33" w:rsidP="006F3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t>GABINETE DO MINISTRO</w:t>
      </w:r>
    </w:p>
    <w:p w:rsidR="00DC7EB9" w:rsidRPr="00DC7EB9" w:rsidRDefault="00DC7EB9" w:rsidP="00DC7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B9">
        <w:rPr>
          <w:rFonts w:ascii="Times New Roman" w:hAnsi="Times New Roman" w:cs="Times New Roman"/>
          <w:b/>
        </w:rPr>
        <w:t>RETIFICAÇÃO</w:t>
      </w:r>
    </w:p>
    <w:p w:rsidR="006F3B33" w:rsidRDefault="00DC7EB9" w:rsidP="00442A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Na Portaria Normativa MEC n</w:t>
      </w:r>
      <w:r w:rsidR="006F3B3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8, de 14 de março de 2014,</w:t>
      </w:r>
      <w:r w:rsidR="00442A2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publicada no Diário Oficial da União de 17 de março de 2014, Seção</w:t>
      </w:r>
      <w:r w:rsidR="00442A2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1, página 40, que consolida disposições sobre indicadores de qualidade</w:t>
      </w:r>
      <w:r w:rsidR="00442A2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e o Exame Nacional de Desempenho de Estudantes - ENADE</w:t>
      </w:r>
      <w:proofErr w:type="gramStart"/>
      <w:r w:rsidRPr="00DC7EB9">
        <w:rPr>
          <w:rFonts w:ascii="Times New Roman" w:hAnsi="Times New Roman" w:cs="Times New Roman"/>
        </w:rPr>
        <w:t>,</w:t>
      </w:r>
      <w:r w:rsidR="00442A2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procedam-se</w:t>
      </w:r>
      <w:proofErr w:type="gramEnd"/>
      <w:r w:rsidRPr="00DC7EB9">
        <w:rPr>
          <w:rFonts w:ascii="Times New Roman" w:hAnsi="Times New Roman" w:cs="Times New Roman"/>
        </w:rPr>
        <w:t xml:space="preserve"> às seguintes retificações:</w:t>
      </w:r>
    </w:p>
    <w:p w:rsidR="006F3B33" w:rsidRDefault="00DC7EB9" w:rsidP="00442A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Art. 9</w:t>
      </w:r>
      <w:r w:rsidR="00442A22">
        <w:rPr>
          <w:rFonts w:ascii="Times New Roman" w:hAnsi="Times New Roman" w:cs="Times New Roman"/>
        </w:rPr>
        <w:t>º</w:t>
      </w:r>
    </w:p>
    <w:p w:rsidR="006F3B33" w:rsidRDefault="00DC7EB9" w:rsidP="00442A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</w:t>
      </w:r>
      <w:r w:rsidR="00C1464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3</w:t>
      </w:r>
      <w:r w:rsidR="006F3B3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Onde se lê: </w:t>
      </w:r>
      <w:proofErr w:type="gramStart"/>
      <w:r w:rsidRPr="00DC7EB9">
        <w:rPr>
          <w:rFonts w:ascii="Times New Roman" w:hAnsi="Times New Roman" w:cs="Times New Roman"/>
        </w:rPr>
        <w:t>"...</w:t>
      </w:r>
      <w:proofErr w:type="gramEnd"/>
      <w:r w:rsidRPr="00DC7EB9">
        <w:rPr>
          <w:rFonts w:ascii="Times New Roman" w:hAnsi="Times New Roman" w:cs="Times New Roman"/>
        </w:rPr>
        <w:t>período de 12 a 17 de agosto...," leia-se:</w:t>
      </w:r>
      <w:r w:rsidR="00442A2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"...período de 12 a 21 de agosto...,"</w:t>
      </w:r>
    </w:p>
    <w:p w:rsidR="00DC7EB9" w:rsidRPr="00DC7EB9" w:rsidRDefault="00DC7EB9" w:rsidP="00442A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7EB9">
        <w:rPr>
          <w:rFonts w:ascii="Times New Roman" w:hAnsi="Times New Roman" w:cs="Times New Roman"/>
        </w:rPr>
        <w:t>§</w:t>
      </w:r>
      <w:r w:rsidR="00C1464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4</w:t>
      </w:r>
      <w:r w:rsidR="006F3B33">
        <w:rPr>
          <w:rFonts w:ascii="Times New Roman" w:hAnsi="Times New Roman" w:cs="Times New Roman"/>
        </w:rPr>
        <w:t>º</w:t>
      </w:r>
      <w:r w:rsidRPr="00DC7EB9">
        <w:rPr>
          <w:rFonts w:ascii="Times New Roman" w:hAnsi="Times New Roman" w:cs="Times New Roman"/>
        </w:rPr>
        <w:t xml:space="preserve"> Onde se lê: </w:t>
      </w:r>
      <w:proofErr w:type="gramStart"/>
      <w:r w:rsidRPr="00DC7EB9">
        <w:rPr>
          <w:rFonts w:ascii="Times New Roman" w:hAnsi="Times New Roman" w:cs="Times New Roman"/>
        </w:rPr>
        <w:t>"...</w:t>
      </w:r>
      <w:proofErr w:type="gramEnd"/>
      <w:r w:rsidRPr="00DC7EB9">
        <w:rPr>
          <w:rFonts w:ascii="Times New Roman" w:hAnsi="Times New Roman" w:cs="Times New Roman"/>
        </w:rPr>
        <w:t>período de 12 a 17 de agosto..." leia-se:</w:t>
      </w:r>
      <w:r w:rsidR="00442A22">
        <w:rPr>
          <w:rFonts w:ascii="Times New Roman" w:hAnsi="Times New Roman" w:cs="Times New Roman"/>
        </w:rPr>
        <w:t xml:space="preserve"> </w:t>
      </w:r>
      <w:r w:rsidRPr="00DC7EB9">
        <w:rPr>
          <w:rFonts w:ascii="Times New Roman" w:hAnsi="Times New Roman" w:cs="Times New Roman"/>
        </w:rPr>
        <w:t>"...período de 12 a 21 de agosto..."</w:t>
      </w:r>
    </w:p>
    <w:p w:rsidR="00DC7EB9" w:rsidRPr="00DC7EB9" w:rsidRDefault="00DC7EB9" w:rsidP="00DC7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B9" w:rsidRDefault="00DC7EB9" w:rsidP="00DC7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642" w:rsidRPr="00C14642" w:rsidRDefault="00C14642" w:rsidP="00C146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4642">
        <w:rPr>
          <w:rFonts w:ascii="Times New Roman" w:hAnsi="Times New Roman" w:cs="Times New Roman"/>
          <w:b/>
          <w:i/>
        </w:rPr>
        <w:t xml:space="preserve">(Publicação no DOU n.º 86, de 08.05.2014, Seção 1, página </w:t>
      </w:r>
      <w:bookmarkStart w:id="0" w:name="_GoBack"/>
      <w:bookmarkEnd w:id="0"/>
      <w:proofErr w:type="gramStart"/>
      <w:r w:rsidRPr="00C14642">
        <w:rPr>
          <w:rFonts w:ascii="Times New Roman" w:hAnsi="Times New Roman" w:cs="Times New Roman"/>
          <w:b/>
          <w:i/>
        </w:rPr>
        <w:t>23)</w:t>
      </w:r>
      <w:proofErr w:type="gramEnd"/>
    </w:p>
    <w:p w:rsidR="00C14642" w:rsidRPr="00DC7EB9" w:rsidRDefault="00C14642" w:rsidP="00C1464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14642" w:rsidRPr="00DC7EB9" w:rsidSect="00DC7EB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C0" w:rsidRDefault="00603AC0" w:rsidP="00C14642">
      <w:pPr>
        <w:spacing w:after="0" w:line="240" w:lineRule="auto"/>
      </w:pPr>
      <w:r>
        <w:separator/>
      </w:r>
    </w:p>
  </w:endnote>
  <w:endnote w:type="continuationSeparator" w:id="0">
    <w:p w:rsidR="00603AC0" w:rsidRDefault="00603AC0" w:rsidP="00C1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02846"/>
      <w:docPartObj>
        <w:docPartGallery w:val="Page Numbers (Bottom of Page)"/>
        <w:docPartUnique/>
      </w:docPartObj>
    </w:sdtPr>
    <w:sdtContent>
      <w:p w:rsidR="00C14642" w:rsidRDefault="00C146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4642" w:rsidRDefault="00C14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C0" w:rsidRDefault="00603AC0" w:rsidP="00C14642">
      <w:pPr>
        <w:spacing w:after="0" w:line="240" w:lineRule="auto"/>
      </w:pPr>
      <w:r>
        <w:separator/>
      </w:r>
    </w:p>
  </w:footnote>
  <w:footnote w:type="continuationSeparator" w:id="0">
    <w:p w:rsidR="00603AC0" w:rsidRDefault="00603AC0" w:rsidP="00C1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9"/>
    <w:rsid w:val="003262B3"/>
    <w:rsid w:val="00442A22"/>
    <w:rsid w:val="00603AC0"/>
    <w:rsid w:val="00641923"/>
    <w:rsid w:val="006F3B33"/>
    <w:rsid w:val="00842316"/>
    <w:rsid w:val="00C14642"/>
    <w:rsid w:val="00D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642"/>
  </w:style>
  <w:style w:type="paragraph" w:styleId="Rodap">
    <w:name w:val="footer"/>
    <w:basedOn w:val="Normal"/>
    <w:link w:val="RodapChar"/>
    <w:uiPriority w:val="99"/>
    <w:unhideWhenUsed/>
    <w:rsid w:val="00C1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642"/>
  </w:style>
  <w:style w:type="paragraph" w:styleId="Rodap">
    <w:name w:val="footer"/>
    <w:basedOn w:val="Normal"/>
    <w:link w:val="RodapChar"/>
    <w:uiPriority w:val="99"/>
    <w:unhideWhenUsed/>
    <w:rsid w:val="00C1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477D-C5F8-41C1-815A-EB2567E4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1675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5</cp:revision>
  <dcterms:created xsi:type="dcterms:W3CDTF">2014-05-08T09:45:00Z</dcterms:created>
  <dcterms:modified xsi:type="dcterms:W3CDTF">2014-05-08T10:09:00Z</dcterms:modified>
</cp:coreProperties>
</file>