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0" w:rsidRPr="001E2F90" w:rsidRDefault="001E2F90" w:rsidP="001E2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F90">
        <w:rPr>
          <w:rFonts w:ascii="Times New Roman" w:hAnsi="Times New Roman" w:cs="Times New Roman"/>
          <w:b/>
        </w:rPr>
        <w:t>MINISTÉRIO DA EDUCAÇÃO</w:t>
      </w:r>
    </w:p>
    <w:p w:rsidR="001E2F90" w:rsidRPr="001E2F90" w:rsidRDefault="001E2F90" w:rsidP="001E2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F90">
        <w:rPr>
          <w:rFonts w:ascii="Times New Roman" w:hAnsi="Times New Roman" w:cs="Times New Roman"/>
          <w:b/>
        </w:rPr>
        <w:t>SECRETARIA DE REGULAÇÃO E SUPERVISÃO</w:t>
      </w:r>
      <w:r w:rsidRPr="001E2F90">
        <w:rPr>
          <w:rFonts w:ascii="Times New Roman" w:hAnsi="Times New Roman" w:cs="Times New Roman"/>
          <w:b/>
        </w:rPr>
        <w:t xml:space="preserve"> </w:t>
      </w:r>
      <w:r w:rsidRPr="001E2F90">
        <w:rPr>
          <w:rFonts w:ascii="Times New Roman" w:hAnsi="Times New Roman" w:cs="Times New Roman"/>
          <w:b/>
        </w:rPr>
        <w:t>DA EDUCAÇÃO SUPERIOR</w:t>
      </w:r>
    </w:p>
    <w:p w:rsidR="001E2F90" w:rsidRPr="001E2F90" w:rsidRDefault="001E2F90" w:rsidP="001E2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F90">
        <w:rPr>
          <w:rFonts w:ascii="Times New Roman" w:hAnsi="Times New Roman" w:cs="Times New Roman"/>
          <w:b/>
        </w:rPr>
        <w:t>RETIFICAÇÃO</w:t>
      </w:r>
    </w:p>
    <w:p w:rsidR="00615B56" w:rsidRPr="001E2F90" w:rsidRDefault="001E2F90" w:rsidP="005147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F90">
        <w:rPr>
          <w:rFonts w:ascii="Times New Roman" w:hAnsi="Times New Roman" w:cs="Times New Roman"/>
        </w:rPr>
        <w:t>No Diário Oficial da União nº 115, de 18 de junho de 2014, Seção 1, página 15, no Anexo da Portaria nº 361, de 17 de junho de 2014,</w:t>
      </w:r>
      <w:r w:rsidR="005147CD">
        <w:rPr>
          <w:rFonts w:ascii="Times New Roman" w:hAnsi="Times New Roman" w:cs="Times New Roman"/>
        </w:rPr>
        <w:t xml:space="preserve"> </w:t>
      </w:r>
      <w:r w:rsidRPr="001E2F90">
        <w:rPr>
          <w:rFonts w:ascii="Times New Roman" w:hAnsi="Times New Roman" w:cs="Times New Roman"/>
        </w:rPr>
        <w:t>onde se lê:</w:t>
      </w:r>
    </w:p>
    <w:p w:rsidR="001E2F90" w:rsidRPr="001E2F90" w:rsidRDefault="001E2F90" w:rsidP="001E2F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47"/>
        <w:gridCol w:w="2339"/>
        <w:gridCol w:w="1134"/>
        <w:gridCol w:w="3685"/>
        <w:gridCol w:w="583"/>
      </w:tblGrid>
      <w:tr w:rsidR="001E2F90" w:rsidRPr="001E2F90" w:rsidTr="001E2F90">
        <w:tc>
          <w:tcPr>
            <w:tcW w:w="1347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DESP./ANO</w:t>
            </w:r>
          </w:p>
        </w:tc>
        <w:tc>
          <w:tcPr>
            <w:tcW w:w="2339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Nº. PROCESSO DE SUPERVISÃO</w:t>
            </w:r>
          </w:p>
        </w:tc>
        <w:tc>
          <w:tcPr>
            <w:tcW w:w="1134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CÓD. IES</w:t>
            </w:r>
          </w:p>
        </w:tc>
        <w:tc>
          <w:tcPr>
            <w:tcW w:w="3685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NOME DA IES</w:t>
            </w:r>
          </w:p>
        </w:tc>
        <w:tc>
          <w:tcPr>
            <w:tcW w:w="583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UF</w:t>
            </w:r>
          </w:p>
        </w:tc>
      </w:tr>
      <w:tr w:rsidR="001E2F90" w:rsidRPr="001E2F90" w:rsidTr="001E2F90">
        <w:tc>
          <w:tcPr>
            <w:tcW w:w="1347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197/2012</w:t>
            </w:r>
          </w:p>
        </w:tc>
        <w:tc>
          <w:tcPr>
            <w:tcW w:w="2339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23000.000538/2013-42</w:t>
            </w:r>
          </w:p>
        </w:tc>
        <w:tc>
          <w:tcPr>
            <w:tcW w:w="1134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3685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FACULDADE DE ADMINISTRAÇÃO SÃO PAULO - FAPI</w:t>
            </w:r>
          </w:p>
        </w:tc>
        <w:tc>
          <w:tcPr>
            <w:tcW w:w="583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SP</w:t>
            </w:r>
          </w:p>
        </w:tc>
      </w:tr>
      <w:tr w:rsidR="001E2F90" w:rsidRPr="001E2F90" w:rsidTr="001E2F90">
        <w:tc>
          <w:tcPr>
            <w:tcW w:w="1347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207/2013</w:t>
            </w:r>
          </w:p>
        </w:tc>
        <w:tc>
          <w:tcPr>
            <w:tcW w:w="2339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23000.020686/2013-83</w:t>
            </w:r>
          </w:p>
        </w:tc>
        <w:tc>
          <w:tcPr>
            <w:tcW w:w="1134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3685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FACULDADE DO SUL DA BAHIA</w:t>
            </w:r>
          </w:p>
        </w:tc>
        <w:tc>
          <w:tcPr>
            <w:tcW w:w="583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BA</w:t>
            </w:r>
          </w:p>
        </w:tc>
      </w:tr>
    </w:tbl>
    <w:p w:rsidR="001E2F90" w:rsidRPr="001E2F90" w:rsidRDefault="001E2F90" w:rsidP="005147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E2F90" w:rsidRPr="001E2F90" w:rsidRDefault="001E2F90" w:rsidP="005147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F90">
        <w:rPr>
          <w:rFonts w:ascii="Times New Roman" w:hAnsi="Times New Roman" w:cs="Times New Roman"/>
        </w:rPr>
        <w:t>Leia-se:</w:t>
      </w:r>
      <w:bookmarkStart w:id="0" w:name="_GoBack"/>
      <w:bookmarkEnd w:id="0"/>
    </w:p>
    <w:p w:rsidR="001E2F90" w:rsidRPr="001E2F90" w:rsidRDefault="001E2F90" w:rsidP="005147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2323"/>
        <w:gridCol w:w="1150"/>
        <w:gridCol w:w="3685"/>
        <w:gridCol w:w="567"/>
      </w:tblGrid>
      <w:tr w:rsidR="005147CD" w:rsidRPr="001E2F90" w:rsidTr="005147CD">
        <w:tc>
          <w:tcPr>
            <w:tcW w:w="1347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DESP./ANO</w:t>
            </w:r>
          </w:p>
        </w:tc>
        <w:tc>
          <w:tcPr>
            <w:tcW w:w="2323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Nº. PROCESSO DE SUPERVISÃO</w:t>
            </w:r>
          </w:p>
        </w:tc>
        <w:tc>
          <w:tcPr>
            <w:tcW w:w="1150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CÓD. IES</w:t>
            </w:r>
          </w:p>
        </w:tc>
        <w:tc>
          <w:tcPr>
            <w:tcW w:w="3685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NOME DA IES</w:t>
            </w:r>
          </w:p>
        </w:tc>
        <w:tc>
          <w:tcPr>
            <w:tcW w:w="567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UF</w:t>
            </w:r>
          </w:p>
        </w:tc>
      </w:tr>
      <w:tr w:rsidR="005147CD" w:rsidRPr="001E2F90" w:rsidTr="005147CD">
        <w:tc>
          <w:tcPr>
            <w:tcW w:w="1347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197/2012</w:t>
            </w:r>
          </w:p>
        </w:tc>
        <w:tc>
          <w:tcPr>
            <w:tcW w:w="2323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23000.000538/2013-42</w:t>
            </w:r>
          </w:p>
        </w:tc>
        <w:tc>
          <w:tcPr>
            <w:tcW w:w="1150" w:type="dxa"/>
          </w:tcPr>
          <w:p w:rsidR="001E2F90" w:rsidRPr="001E2F90" w:rsidRDefault="001E2F90" w:rsidP="005147CD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637 (antiga</w:t>
            </w:r>
            <w:r w:rsidR="005147CD">
              <w:rPr>
                <w:rFonts w:ascii="Times New Roman" w:hAnsi="Times New Roman" w:cs="Times New Roman"/>
              </w:rPr>
              <w:t xml:space="preserve"> </w:t>
            </w:r>
            <w:r w:rsidRPr="001E2F90">
              <w:rPr>
                <w:rFonts w:ascii="Times New Roman" w:hAnsi="Times New Roman" w:cs="Times New Roman"/>
              </w:rPr>
              <w:t>1103)</w:t>
            </w:r>
          </w:p>
        </w:tc>
        <w:tc>
          <w:tcPr>
            <w:tcW w:w="3685" w:type="dxa"/>
          </w:tcPr>
          <w:p w:rsidR="001E2F90" w:rsidRPr="001E2F90" w:rsidRDefault="001E2F90" w:rsidP="005147CD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 xml:space="preserve">FACULDADE DE ENGENHARIA SÃO PAULO </w:t>
            </w:r>
            <w:r w:rsidR="005147CD">
              <w:rPr>
                <w:rFonts w:ascii="Times New Roman" w:hAnsi="Times New Roman" w:cs="Times New Roman"/>
              </w:rPr>
              <w:t>–</w:t>
            </w:r>
            <w:r w:rsidRPr="001E2F90">
              <w:rPr>
                <w:rFonts w:ascii="Times New Roman" w:hAnsi="Times New Roman" w:cs="Times New Roman"/>
              </w:rPr>
              <w:t xml:space="preserve"> FESP</w:t>
            </w:r>
            <w:r w:rsidR="005147CD">
              <w:rPr>
                <w:rFonts w:ascii="Times New Roman" w:hAnsi="Times New Roman" w:cs="Times New Roman"/>
              </w:rPr>
              <w:t xml:space="preserve"> </w:t>
            </w:r>
            <w:r w:rsidRPr="001E2F90">
              <w:rPr>
                <w:rFonts w:ascii="Times New Roman" w:hAnsi="Times New Roman" w:cs="Times New Roman"/>
              </w:rPr>
              <w:t>(antiga FACULDADE DE ADMINISTRAÇÃO SÃO PAULO</w:t>
            </w:r>
            <w:r w:rsidR="005147CD">
              <w:rPr>
                <w:rFonts w:ascii="Times New Roman" w:hAnsi="Times New Roman" w:cs="Times New Roman"/>
              </w:rPr>
              <w:t xml:space="preserve"> </w:t>
            </w:r>
            <w:r w:rsidRPr="001E2F90">
              <w:rPr>
                <w:rFonts w:ascii="Times New Roman" w:hAnsi="Times New Roman" w:cs="Times New Roman"/>
              </w:rPr>
              <w:t>- FAPI)</w:t>
            </w:r>
          </w:p>
        </w:tc>
        <w:tc>
          <w:tcPr>
            <w:tcW w:w="567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SP</w:t>
            </w:r>
          </w:p>
        </w:tc>
      </w:tr>
      <w:tr w:rsidR="005147CD" w:rsidRPr="001E2F90" w:rsidTr="005147CD">
        <w:tc>
          <w:tcPr>
            <w:tcW w:w="1347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207/2013</w:t>
            </w:r>
          </w:p>
        </w:tc>
        <w:tc>
          <w:tcPr>
            <w:tcW w:w="2323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23000.020686/2013-83</w:t>
            </w:r>
          </w:p>
        </w:tc>
        <w:tc>
          <w:tcPr>
            <w:tcW w:w="1150" w:type="dxa"/>
          </w:tcPr>
          <w:p w:rsidR="001E2F90" w:rsidRPr="001E2F90" w:rsidRDefault="001E2F90" w:rsidP="005147CD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1790 (antiga</w:t>
            </w:r>
            <w:r w:rsidR="005147CD">
              <w:rPr>
                <w:rFonts w:ascii="Times New Roman" w:hAnsi="Times New Roman" w:cs="Times New Roman"/>
              </w:rPr>
              <w:t xml:space="preserve"> </w:t>
            </w:r>
            <w:r w:rsidRPr="001E2F90">
              <w:rPr>
                <w:rFonts w:ascii="Times New Roman" w:hAnsi="Times New Roman" w:cs="Times New Roman"/>
              </w:rPr>
              <w:t>1715)</w:t>
            </w:r>
          </w:p>
        </w:tc>
        <w:tc>
          <w:tcPr>
            <w:tcW w:w="3685" w:type="dxa"/>
          </w:tcPr>
          <w:p w:rsidR="001E2F90" w:rsidRPr="001E2F90" w:rsidRDefault="005147CD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FACULDADE DO SUL DA BAHIA</w:t>
            </w:r>
          </w:p>
        </w:tc>
        <w:tc>
          <w:tcPr>
            <w:tcW w:w="567" w:type="dxa"/>
          </w:tcPr>
          <w:p w:rsidR="001E2F90" w:rsidRPr="001E2F90" w:rsidRDefault="001E2F90" w:rsidP="001E2F90">
            <w:pPr>
              <w:jc w:val="both"/>
              <w:rPr>
                <w:rFonts w:ascii="Times New Roman" w:hAnsi="Times New Roman" w:cs="Times New Roman"/>
              </w:rPr>
            </w:pPr>
            <w:r w:rsidRPr="001E2F90">
              <w:rPr>
                <w:rFonts w:ascii="Times New Roman" w:hAnsi="Times New Roman" w:cs="Times New Roman"/>
              </w:rPr>
              <w:t>BA</w:t>
            </w:r>
          </w:p>
        </w:tc>
      </w:tr>
    </w:tbl>
    <w:p w:rsidR="001E2F90" w:rsidRPr="001E2F90" w:rsidRDefault="001E2F90" w:rsidP="001E2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F90" w:rsidRDefault="001E2F90" w:rsidP="001E2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7CD" w:rsidRPr="005147CD" w:rsidRDefault="005147CD" w:rsidP="005147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47CD">
        <w:rPr>
          <w:rFonts w:ascii="Times New Roman" w:hAnsi="Times New Roman" w:cs="Times New Roman"/>
          <w:b/>
          <w:i/>
        </w:rPr>
        <w:t xml:space="preserve">(Publicação no DOU n.º 118, de 24.06.2014, Seção 1, página </w:t>
      </w:r>
      <w:proofErr w:type="gramStart"/>
      <w:r w:rsidRPr="005147CD">
        <w:rPr>
          <w:rFonts w:ascii="Times New Roman" w:hAnsi="Times New Roman" w:cs="Times New Roman"/>
          <w:b/>
          <w:i/>
        </w:rPr>
        <w:t>08)</w:t>
      </w:r>
      <w:proofErr w:type="gramEnd"/>
    </w:p>
    <w:sectPr w:rsidR="005147CD" w:rsidRPr="005147CD" w:rsidSect="001E2F9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EA" w:rsidRDefault="00567AEA" w:rsidP="005147CD">
      <w:pPr>
        <w:spacing w:after="0" w:line="240" w:lineRule="auto"/>
      </w:pPr>
      <w:r>
        <w:separator/>
      </w:r>
    </w:p>
  </w:endnote>
  <w:endnote w:type="continuationSeparator" w:id="0">
    <w:p w:rsidR="00567AEA" w:rsidRDefault="00567AEA" w:rsidP="0051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723005"/>
      <w:docPartObj>
        <w:docPartGallery w:val="Page Numbers (Bottom of Page)"/>
        <w:docPartUnique/>
      </w:docPartObj>
    </w:sdtPr>
    <w:sdtContent>
      <w:p w:rsidR="005147CD" w:rsidRDefault="005147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47CD" w:rsidRDefault="005147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EA" w:rsidRDefault="00567AEA" w:rsidP="005147CD">
      <w:pPr>
        <w:spacing w:after="0" w:line="240" w:lineRule="auto"/>
      </w:pPr>
      <w:r>
        <w:separator/>
      </w:r>
    </w:p>
  </w:footnote>
  <w:footnote w:type="continuationSeparator" w:id="0">
    <w:p w:rsidR="00567AEA" w:rsidRDefault="00567AEA" w:rsidP="0051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0"/>
    <w:rsid w:val="001E2F90"/>
    <w:rsid w:val="005147CD"/>
    <w:rsid w:val="00567AEA"/>
    <w:rsid w:val="0061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4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7CD"/>
  </w:style>
  <w:style w:type="paragraph" w:styleId="Rodap">
    <w:name w:val="footer"/>
    <w:basedOn w:val="Normal"/>
    <w:link w:val="RodapChar"/>
    <w:uiPriority w:val="99"/>
    <w:unhideWhenUsed/>
    <w:rsid w:val="00514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4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7CD"/>
  </w:style>
  <w:style w:type="paragraph" w:styleId="Rodap">
    <w:name w:val="footer"/>
    <w:basedOn w:val="Normal"/>
    <w:link w:val="RodapChar"/>
    <w:uiPriority w:val="99"/>
    <w:unhideWhenUsed/>
    <w:rsid w:val="00514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2014-06-24T10:50:00Z</dcterms:created>
  <dcterms:modified xsi:type="dcterms:W3CDTF">2014-06-24T11:03:00Z</dcterms:modified>
</cp:coreProperties>
</file>