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54" w:rsidRDefault="009D3B54" w:rsidP="001E175F">
      <w:pPr>
        <w:spacing w:line="240" w:lineRule="auto"/>
        <w:jc w:val="left"/>
      </w:pPr>
    </w:p>
    <w:p w:rsidR="0037742A" w:rsidRDefault="0037742A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8276C5" w:rsidRPr="00440308" w:rsidRDefault="008276C5" w:rsidP="0037742A">
      <w:pPr>
        <w:pStyle w:val="Ttulo1"/>
      </w:pPr>
      <w:r w:rsidRPr="00440308">
        <w:t>MINISTÉRIO DA EDUCAÇÃO</w:t>
      </w:r>
    </w:p>
    <w:p w:rsidR="008276C5" w:rsidRPr="00440308" w:rsidRDefault="008276C5" w:rsidP="0037742A">
      <w:pPr>
        <w:pStyle w:val="Ttulo1"/>
      </w:pPr>
      <w:r w:rsidRPr="00440308">
        <w:t>INSTITUTO NACIONAL DE ESTUDOS</w:t>
      </w:r>
    </w:p>
    <w:p w:rsidR="008276C5" w:rsidRPr="00440308" w:rsidRDefault="008276C5" w:rsidP="0037742A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8276C5" w:rsidRPr="00D50594" w:rsidRDefault="008276C5" w:rsidP="0037742A">
      <w:pPr>
        <w:pStyle w:val="Ttulo1"/>
      </w:pPr>
      <w:r w:rsidRPr="00D50594">
        <w:t xml:space="preserve">PORTARIA Nº 253, DE </w:t>
      </w:r>
      <w:proofErr w:type="gramStart"/>
      <w:r w:rsidRPr="00D50594">
        <w:t>2</w:t>
      </w:r>
      <w:proofErr w:type="gramEnd"/>
      <w:r w:rsidRPr="00D50594">
        <w:t xml:space="preserve"> DE JUNHO DE 2014</w:t>
      </w:r>
    </w:p>
    <w:p w:rsidR="008276C5" w:rsidRPr="00440308" w:rsidRDefault="008276C5" w:rsidP="0037742A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BD1497">
        <w:rPr>
          <w:b/>
        </w:rPr>
        <w:t>Área de Filosofia</w:t>
      </w:r>
      <w:r w:rsidRPr="00440308">
        <w:t>, nomeada pela Portaria Inep nº 12, de 10 de janeiro</w:t>
      </w:r>
      <w:r>
        <w:t xml:space="preserve"> </w:t>
      </w:r>
      <w:r w:rsidRPr="00440308">
        <w:t>de 2014, resolve:</w:t>
      </w:r>
    </w:p>
    <w:p w:rsidR="008276C5" w:rsidRPr="00440308" w:rsidRDefault="008276C5" w:rsidP="0037742A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8276C5" w:rsidRPr="00440308" w:rsidRDefault="008276C5" w:rsidP="0037742A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Filosofia.</w:t>
      </w:r>
    </w:p>
    <w:p w:rsidR="008276C5" w:rsidRDefault="008276C5" w:rsidP="0037742A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8276C5" w:rsidRDefault="008276C5" w:rsidP="0037742A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Filosofia, terá por objetivos:</w:t>
      </w:r>
      <w:r>
        <w:t xml:space="preserve"> </w:t>
      </w:r>
    </w:p>
    <w:p w:rsidR="008276C5" w:rsidRPr="00440308" w:rsidRDefault="008276C5" w:rsidP="0037742A">
      <w:pPr>
        <w:pStyle w:val="04-TextodeArtigoeIncisos"/>
      </w:pPr>
      <w:r w:rsidRPr="00440308">
        <w:t>I - avaliar o processo de formação do estudante de Filosofia,</w:t>
      </w:r>
      <w:r>
        <w:t xml:space="preserve"> </w:t>
      </w:r>
      <w:r w:rsidRPr="00440308">
        <w:t>tendo em vista as competências e habilidades específicas requeridas</w:t>
      </w:r>
      <w:r>
        <w:t xml:space="preserve"> </w:t>
      </w:r>
      <w:r w:rsidRPr="00440308">
        <w:t>para atuação na área, quer como bacharel, quer como licenciado em</w:t>
      </w:r>
      <w:r>
        <w:t xml:space="preserve"> </w:t>
      </w:r>
      <w:r w:rsidRPr="00440308">
        <w:t>Filosofia;</w:t>
      </w:r>
    </w:p>
    <w:p w:rsidR="008276C5" w:rsidRPr="00440308" w:rsidRDefault="008276C5" w:rsidP="0037742A">
      <w:pPr>
        <w:pStyle w:val="04-TextodeArtigoeIncisos"/>
      </w:pPr>
      <w:r w:rsidRPr="00440308">
        <w:t>II - auxiliar na formulação de políticas de aperfeiçoamento</w:t>
      </w:r>
      <w:r>
        <w:t xml:space="preserve"> </w:t>
      </w:r>
      <w:r w:rsidRPr="00440308">
        <w:t>do processo de formação do estudante.</w:t>
      </w:r>
      <w:r>
        <w:t xml:space="preserve"> </w:t>
      </w:r>
    </w:p>
    <w:p w:rsidR="008276C5" w:rsidRPr="00440308" w:rsidRDefault="008276C5" w:rsidP="0037742A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Filosofia, tomará como referência do perfil do egresso do</w:t>
      </w:r>
      <w:r>
        <w:t xml:space="preserve"> </w:t>
      </w:r>
      <w:r w:rsidRPr="00440308">
        <w:t>curso de Filosofia os seguintes elementos:</w:t>
      </w:r>
    </w:p>
    <w:p w:rsidR="008276C5" w:rsidRPr="00440308" w:rsidRDefault="008276C5" w:rsidP="0037742A">
      <w:pPr>
        <w:pStyle w:val="04-TextodeArtigoeIncisos"/>
      </w:pPr>
      <w:r w:rsidRPr="00440308">
        <w:t>I - compreensão dos principais temas, problemas e sistemas</w:t>
      </w:r>
      <w:r>
        <w:t xml:space="preserve"> </w:t>
      </w:r>
      <w:r w:rsidRPr="00440308">
        <w:t>filosóficos;</w:t>
      </w:r>
    </w:p>
    <w:p w:rsidR="008276C5" w:rsidRPr="00440308" w:rsidRDefault="008276C5" w:rsidP="0037742A">
      <w:pPr>
        <w:pStyle w:val="04-TextodeArtigoeIncisos"/>
      </w:pPr>
      <w:r w:rsidRPr="00440308">
        <w:t>II - formação consistente em História da Filosofia como</w:t>
      </w:r>
      <w:r>
        <w:t xml:space="preserve"> </w:t>
      </w:r>
      <w:r w:rsidRPr="00440308">
        <w:t>objeto de reflexão;</w:t>
      </w:r>
    </w:p>
    <w:p w:rsidR="008276C5" w:rsidRPr="00440308" w:rsidRDefault="008276C5" w:rsidP="0037742A">
      <w:pPr>
        <w:pStyle w:val="04-TextodeArtigoeIncisos"/>
      </w:pPr>
      <w:r w:rsidRPr="00440308">
        <w:lastRenderedPageBreak/>
        <w:t>III - aptidão em comunicar com rigor o legado da tradição</w:t>
      </w:r>
      <w:r>
        <w:t xml:space="preserve"> </w:t>
      </w:r>
      <w:r w:rsidRPr="00440308">
        <w:t>filosófica e dialogar com as ciências, as artes e a cultura em geral.</w:t>
      </w:r>
    </w:p>
    <w:p w:rsidR="008276C5" w:rsidRPr="00440308" w:rsidRDefault="008276C5" w:rsidP="0037742A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Filosofia, avaliará se o estudante desenvolveu, no processo de</w:t>
      </w:r>
      <w:r>
        <w:t xml:space="preserve"> </w:t>
      </w:r>
      <w:r w:rsidRPr="00440308">
        <w:t>formação, as competências e habilidades para:</w:t>
      </w:r>
    </w:p>
    <w:p w:rsidR="008276C5" w:rsidRPr="00440308" w:rsidRDefault="008276C5" w:rsidP="0037742A">
      <w:pPr>
        <w:pStyle w:val="04-TextodeArtigoeIncisos"/>
      </w:pPr>
      <w:r w:rsidRPr="00440308">
        <w:t>I - formular e propor soluções a problemas filosóficos que</w:t>
      </w:r>
      <w:r>
        <w:t xml:space="preserve"> </w:t>
      </w:r>
      <w:r w:rsidRPr="00440308">
        <w:t>emanam dos diversos campos do conhecimento;</w:t>
      </w:r>
    </w:p>
    <w:p w:rsidR="008276C5" w:rsidRPr="00440308" w:rsidRDefault="008276C5" w:rsidP="0037742A">
      <w:pPr>
        <w:pStyle w:val="04-TextodeArtigoeIncisos"/>
      </w:pPr>
      <w:r w:rsidRPr="00440308">
        <w:t>II - refletir criticamente sobre a realidade social, histórica,</w:t>
      </w:r>
      <w:r>
        <w:t xml:space="preserve"> </w:t>
      </w:r>
      <w:r w:rsidRPr="00440308">
        <w:t>política e cultural;</w:t>
      </w:r>
    </w:p>
    <w:p w:rsidR="008276C5" w:rsidRPr="00440308" w:rsidRDefault="008276C5" w:rsidP="0037742A">
      <w:pPr>
        <w:pStyle w:val="04-TextodeArtigoeIncisos"/>
      </w:pPr>
      <w:r w:rsidRPr="00440308">
        <w:t>III - analisar, interpretar e comentar textos segundo procedimentos</w:t>
      </w:r>
      <w:r>
        <w:t xml:space="preserve"> </w:t>
      </w:r>
      <w:r w:rsidRPr="00440308">
        <w:t>filosóficos;</w:t>
      </w:r>
    </w:p>
    <w:p w:rsidR="008276C5" w:rsidRPr="00440308" w:rsidRDefault="008276C5" w:rsidP="0037742A">
      <w:pPr>
        <w:pStyle w:val="04-TextodeArtigoeIncisos"/>
      </w:pPr>
      <w:r w:rsidRPr="00440308">
        <w:t>IV - compreender a importância das questões acerca do sentido</w:t>
      </w:r>
      <w:r>
        <w:t xml:space="preserve"> </w:t>
      </w:r>
      <w:r w:rsidRPr="00440308">
        <w:t>e da significação da existência;</w:t>
      </w:r>
    </w:p>
    <w:p w:rsidR="008276C5" w:rsidRPr="00440308" w:rsidRDefault="008276C5" w:rsidP="0037742A">
      <w:pPr>
        <w:pStyle w:val="04-TextodeArtigoeIncisos"/>
      </w:pPr>
      <w:r w:rsidRPr="00440308">
        <w:t>V - promover a integração entre Filosofia, ciência, arte e</w:t>
      </w:r>
      <w:r>
        <w:t xml:space="preserve"> </w:t>
      </w:r>
      <w:r w:rsidRPr="00440308">
        <w:t>cultura;</w:t>
      </w:r>
    </w:p>
    <w:p w:rsidR="008276C5" w:rsidRPr="00440308" w:rsidRDefault="008276C5" w:rsidP="0037742A">
      <w:pPr>
        <w:pStyle w:val="04-TextodeArtigoeIncisos"/>
      </w:pPr>
      <w:r w:rsidRPr="00440308">
        <w:t>VI - integrar a Filosofia à conduta humana nas esferas pública</w:t>
      </w:r>
      <w:r>
        <w:t xml:space="preserve"> </w:t>
      </w:r>
      <w:r w:rsidRPr="00440308">
        <w:t>e privada;</w:t>
      </w:r>
    </w:p>
    <w:p w:rsidR="008276C5" w:rsidRPr="00440308" w:rsidRDefault="008276C5" w:rsidP="0037742A">
      <w:pPr>
        <w:pStyle w:val="04-TextodeArtigoeIncisos"/>
      </w:pPr>
      <w:r w:rsidRPr="00440308">
        <w:t>VII - empregar o exercício da crítica filosófica na promoção</w:t>
      </w:r>
      <w:r>
        <w:t xml:space="preserve"> </w:t>
      </w:r>
      <w:r w:rsidRPr="00440308">
        <w:t>integral da cidadania e do respeito à pessoa, conforme a tradição de</w:t>
      </w:r>
      <w:r>
        <w:t xml:space="preserve"> </w:t>
      </w:r>
      <w:r w:rsidRPr="00440308">
        <w:t>defesa dos direitos humanos.</w:t>
      </w:r>
    </w:p>
    <w:p w:rsidR="008276C5" w:rsidRPr="00440308" w:rsidRDefault="008276C5" w:rsidP="0037742A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Filosofia, tendo em conta que seus cursos devem, necessariamente,</w:t>
      </w:r>
      <w:r>
        <w:t xml:space="preserve"> </w:t>
      </w:r>
      <w:r w:rsidRPr="00440308">
        <w:t>promover contato direto com as fontes filosóficas originais,</w:t>
      </w:r>
      <w:r>
        <w:t xml:space="preserve"> </w:t>
      </w:r>
      <w:r w:rsidRPr="00440308">
        <w:t>tomará como referencial os seguintes conteúdos curriculares:</w:t>
      </w:r>
    </w:p>
    <w:p w:rsidR="008276C5" w:rsidRPr="00440308" w:rsidRDefault="008276C5" w:rsidP="0037742A">
      <w:pPr>
        <w:pStyle w:val="04-TextodeArtigoeIncisos"/>
      </w:pPr>
      <w:r w:rsidRPr="00440308">
        <w:t>I - Filosofia Antiga: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bookmarkStart w:id="0" w:name="_GoBack"/>
      <w:r w:rsidRPr="00440308">
        <w:t>a) Filosofia da Natureza;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b) Ética e Filosofia Política;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c) Metafísica.</w:t>
      </w:r>
    </w:p>
    <w:bookmarkEnd w:id="0"/>
    <w:p w:rsidR="008276C5" w:rsidRPr="00440308" w:rsidRDefault="008276C5" w:rsidP="0037742A">
      <w:pPr>
        <w:pStyle w:val="04-TextodeArtigoeIncisos"/>
      </w:pPr>
      <w:r w:rsidRPr="00440308">
        <w:t>II- Filosofia Medieval: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a) Ética e Filosofia Política;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b) Metafísica;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c) Filosofia da Linguagem.</w:t>
      </w:r>
    </w:p>
    <w:p w:rsidR="008276C5" w:rsidRPr="00440308" w:rsidRDefault="008276C5" w:rsidP="0037742A">
      <w:pPr>
        <w:pStyle w:val="04-TextodeArtigoeIncisos"/>
      </w:pPr>
      <w:r w:rsidRPr="00440308">
        <w:t>III- Filosofia Moderna: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a) Teoria do Conhecimento;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b) Filosofia Política;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c) Ética e Filosofia Moral;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d) Metafísica e crítica da Metafísica.</w:t>
      </w:r>
    </w:p>
    <w:p w:rsidR="008276C5" w:rsidRPr="00440308" w:rsidRDefault="008276C5" w:rsidP="0037742A">
      <w:pPr>
        <w:pStyle w:val="04-TextodeArtigoeIncisos"/>
      </w:pPr>
      <w:r w:rsidRPr="00440308">
        <w:t>IV- Filosofia Contemporânea: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a) Metafísica e crítica da Metafísica;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b) Fenomenologia e Existencialismo;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c) Filosofia Analítica;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d) Filosofia da Linguagem;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e) Filosofia da Ciência e Epistemologia;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f) Ética;</w:t>
      </w:r>
    </w:p>
    <w:p w:rsidR="008276C5" w:rsidRPr="00440308" w:rsidRDefault="008276C5" w:rsidP="0037742A">
      <w:pPr>
        <w:pStyle w:val="05-TextodeAlneas"/>
        <w:numPr>
          <w:ilvl w:val="0"/>
          <w:numId w:val="0"/>
        </w:numPr>
        <w:ind w:left="1778"/>
      </w:pPr>
      <w:r w:rsidRPr="00440308">
        <w:t>g) Filosofia Política.</w:t>
      </w:r>
    </w:p>
    <w:p w:rsidR="008276C5" w:rsidRPr="00440308" w:rsidRDefault="008276C5" w:rsidP="0037742A">
      <w:pPr>
        <w:pStyle w:val="04-TextodeArtigoeIncisos"/>
      </w:pPr>
      <w:r w:rsidRPr="00440308">
        <w:t>V - Filosofia da Educação e Ensino de Filosofia.</w:t>
      </w:r>
    </w:p>
    <w:p w:rsidR="008276C5" w:rsidRPr="00440308" w:rsidRDefault="008276C5" w:rsidP="0037742A">
      <w:pPr>
        <w:pStyle w:val="04-TextodeArtigoeIncisos"/>
      </w:pPr>
      <w:r w:rsidRPr="00440308">
        <w:t>VI - Lógica.</w:t>
      </w:r>
    </w:p>
    <w:p w:rsidR="008276C5" w:rsidRPr="00440308" w:rsidRDefault="008276C5" w:rsidP="0037742A">
      <w:pPr>
        <w:pStyle w:val="04-TextodeArtigoeIncisos"/>
      </w:pPr>
      <w:r w:rsidRPr="00440308">
        <w:t>VII - Filosofia da História.</w:t>
      </w:r>
    </w:p>
    <w:p w:rsidR="008276C5" w:rsidRPr="00440308" w:rsidRDefault="008276C5" w:rsidP="0037742A">
      <w:pPr>
        <w:pStyle w:val="04-TextodeArtigoeIncisos"/>
      </w:pPr>
      <w:r w:rsidRPr="00440308">
        <w:t>VIII - Estética e Filosofia da Arte.</w:t>
      </w:r>
    </w:p>
    <w:p w:rsidR="008276C5" w:rsidRPr="00440308" w:rsidRDefault="008276C5" w:rsidP="0037742A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8276C5" w:rsidRPr="00440308" w:rsidRDefault="008276C5" w:rsidP="0037742A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Filosofia,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8276C5" w:rsidRPr="00440308" w:rsidRDefault="008276C5" w:rsidP="0037742A">
      <w:pPr>
        <w:pStyle w:val="04-TextodeArtigoeIncisos"/>
      </w:pPr>
      <w:r w:rsidRPr="00440308">
        <w:t>Art. 10º Esta Portaria entra em vigor na data de sua publicação.</w:t>
      </w:r>
    </w:p>
    <w:p w:rsidR="008276C5" w:rsidRDefault="008276C5" w:rsidP="0037742A">
      <w:pPr>
        <w:pStyle w:val="07-AssinaturaeDOU"/>
      </w:pPr>
      <w:r w:rsidRPr="00BD1497">
        <w:t>JOSÉ FRANCISCO SOARES</w:t>
      </w:r>
    </w:p>
    <w:p w:rsidR="008276C5" w:rsidRDefault="008276C5" w:rsidP="0037742A">
      <w:pPr>
        <w:pStyle w:val="07-AssinaturaeDOU"/>
      </w:pPr>
    </w:p>
    <w:p w:rsidR="00995DEE" w:rsidRDefault="008276C5" w:rsidP="0037742A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32</w:t>
      </w:r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742A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37742A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774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2A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774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72E3E"/>
    <w:rsid w:val="0037742A"/>
    <w:rsid w:val="003B5DF2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436D"/>
    <w:rsid w:val="00606484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276C5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E3B15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774D-A2D3-4E25-853D-DA323D88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3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2014-06-04T19:05:00Z</dcterms:created>
  <dcterms:modified xsi:type="dcterms:W3CDTF">2014-06-04T19:36:00Z</dcterms:modified>
</cp:coreProperties>
</file>