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34" w:rsidRDefault="004E1E34" w:rsidP="003B1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C62F4" w:rsidRPr="003B1A39" w:rsidRDefault="000C62F4" w:rsidP="003B1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A39">
        <w:rPr>
          <w:rFonts w:ascii="Times New Roman" w:hAnsi="Times New Roman" w:cs="Times New Roman"/>
          <w:b/>
        </w:rPr>
        <w:t>COORDENAÇÃO DE APERFEIÇOAMENTO</w:t>
      </w:r>
    </w:p>
    <w:p w:rsidR="000C62F4" w:rsidRPr="003B1A39" w:rsidRDefault="000C62F4" w:rsidP="003B1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A39">
        <w:rPr>
          <w:rFonts w:ascii="Times New Roman" w:hAnsi="Times New Roman" w:cs="Times New Roman"/>
          <w:b/>
        </w:rPr>
        <w:t>DE PESSOAL DE NÍVEL SUPERIOR</w:t>
      </w:r>
    </w:p>
    <w:p w:rsidR="000C62F4" w:rsidRPr="003B1A39" w:rsidRDefault="000C62F4" w:rsidP="003B1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A39">
        <w:rPr>
          <w:rFonts w:ascii="Times New Roman" w:hAnsi="Times New Roman" w:cs="Times New Roman"/>
          <w:b/>
        </w:rPr>
        <w:t>PORTARIA N</w:t>
      </w:r>
      <w:r w:rsidR="003B1A39">
        <w:rPr>
          <w:rFonts w:ascii="Times New Roman" w:hAnsi="Times New Roman" w:cs="Times New Roman"/>
          <w:b/>
        </w:rPr>
        <w:t>º</w:t>
      </w:r>
      <w:r w:rsidRPr="003B1A39">
        <w:rPr>
          <w:rFonts w:ascii="Times New Roman" w:hAnsi="Times New Roman" w:cs="Times New Roman"/>
          <w:b/>
        </w:rPr>
        <w:t xml:space="preserve"> 11, DE 28 DE JANEIRO DE 2014(*</w:t>
      </w:r>
      <w:proofErr w:type="gramStart"/>
      <w:r w:rsidRPr="003B1A39">
        <w:rPr>
          <w:rFonts w:ascii="Times New Roman" w:hAnsi="Times New Roman" w:cs="Times New Roman"/>
          <w:b/>
        </w:rPr>
        <w:t>)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 xml:space="preserve">O PRESIDENTE DA COORDENAÇÃO DE APERFEIÇOAMENTO DE PESSOAL DE NÍVEL SUPERIOR - </w:t>
      </w:r>
      <w:proofErr w:type="gramStart"/>
      <w:r w:rsidRPr="003B1A39">
        <w:rPr>
          <w:rFonts w:ascii="Times New Roman" w:hAnsi="Times New Roman" w:cs="Times New Roman"/>
        </w:rPr>
        <w:t>CAPES,</w:t>
      </w:r>
      <w:proofErr w:type="gramEnd"/>
      <w:r w:rsidRPr="003B1A39">
        <w:rPr>
          <w:rFonts w:ascii="Times New Roman" w:hAnsi="Times New Roman" w:cs="Times New Roman"/>
        </w:rPr>
        <w:t xml:space="preserve"> no uso das atribuições que lhe são conferidas pelo Estatuto aprovado pelo Decreto nº</w:t>
      </w:r>
      <w:r w:rsidR="003B1A39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7.692, de 02/03/2012, resolve:</w:t>
      </w:r>
    </w:p>
    <w:p w:rsidR="000C62F4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Art.1º Estabelecer o calendário de atividades da Diretoria de Avaliação para o ano de 2014:</w:t>
      </w:r>
    </w:p>
    <w:p w:rsidR="003B1A39" w:rsidRDefault="003B1A39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B1A39" w:rsidTr="003B1A39">
        <w:tc>
          <w:tcPr>
            <w:tcW w:w="4322" w:type="dxa"/>
          </w:tcPr>
          <w:p w:rsidR="003B1A39" w:rsidRDefault="003B1A39" w:rsidP="00214F00">
            <w:pPr>
              <w:jc w:val="center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4322" w:type="dxa"/>
          </w:tcPr>
          <w:p w:rsidR="003B1A39" w:rsidRDefault="00563A4C" w:rsidP="00563A4C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</w:p>
        </w:tc>
      </w:tr>
      <w:tr w:rsidR="003B1A39" w:rsidTr="003B1A39">
        <w:tc>
          <w:tcPr>
            <w:tcW w:w="4322" w:type="dxa"/>
          </w:tcPr>
          <w:p w:rsidR="003B1A39" w:rsidRDefault="00563A4C" w:rsidP="003B1A39">
            <w:pPr>
              <w:jc w:val="both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Lançamento da Plataforma Sucupira - Coleta de dados do ano 2013</w:t>
            </w:r>
          </w:p>
        </w:tc>
        <w:tc>
          <w:tcPr>
            <w:tcW w:w="4322" w:type="dxa"/>
          </w:tcPr>
          <w:p w:rsidR="003B1A39" w:rsidRDefault="00563A4C" w:rsidP="00214F00">
            <w:pPr>
              <w:jc w:val="center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27 de ma</w:t>
            </w:r>
            <w:r w:rsidR="00214F00">
              <w:rPr>
                <w:rFonts w:ascii="Times New Roman" w:hAnsi="Times New Roman" w:cs="Times New Roman"/>
              </w:rPr>
              <w:t>rço de 2014</w:t>
            </w:r>
          </w:p>
        </w:tc>
      </w:tr>
      <w:tr w:rsidR="003B1A39" w:rsidTr="003B1A39">
        <w:tc>
          <w:tcPr>
            <w:tcW w:w="4322" w:type="dxa"/>
          </w:tcPr>
          <w:p w:rsidR="003B1A39" w:rsidRDefault="00563A4C" w:rsidP="003B1A39">
            <w:pPr>
              <w:jc w:val="both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Solicitação de mudança de área formulada por programas de pós-graduação</w:t>
            </w:r>
          </w:p>
        </w:tc>
        <w:tc>
          <w:tcPr>
            <w:tcW w:w="4322" w:type="dxa"/>
          </w:tcPr>
          <w:p w:rsidR="003B1A39" w:rsidRDefault="00214F00" w:rsidP="0021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a 25 de abril de 2014</w:t>
            </w:r>
          </w:p>
        </w:tc>
      </w:tr>
      <w:tr w:rsidR="003B1A39" w:rsidTr="003B1A39">
        <w:tc>
          <w:tcPr>
            <w:tcW w:w="4322" w:type="dxa"/>
          </w:tcPr>
          <w:p w:rsidR="003B1A39" w:rsidRDefault="00563A4C" w:rsidP="003B1A39">
            <w:pPr>
              <w:jc w:val="both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Apresentação de Novas Propostas de Mestrado Profissional (APCN-MP)</w:t>
            </w:r>
          </w:p>
        </w:tc>
        <w:tc>
          <w:tcPr>
            <w:tcW w:w="4322" w:type="dxa"/>
          </w:tcPr>
          <w:p w:rsidR="003B1A39" w:rsidRDefault="00214F00" w:rsidP="0021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 30 de maio de 2014</w:t>
            </w:r>
          </w:p>
        </w:tc>
      </w:tr>
      <w:tr w:rsidR="003B1A39" w:rsidTr="003B1A39">
        <w:tc>
          <w:tcPr>
            <w:tcW w:w="4322" w:type="dxa"/>
          </w:tcPr>
          <w:p w:rsidR="003B1A39" w:rsidRDefault="00563A4C" w:rsidP="003B1A39">
            <w:pPr>
              <w:jc w:val="both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Apresentação de Propostas de Minter/</w:t>
            </w:r>
            <w:proofErr w:type="spellStart"/>
            <w:r w:rsidRPr="003B1A39">
              <w:rPr>
                <w:rFonts w:ascii="Times New Roman" w:hAnsi="Times New Roman" w:cs="Times New Roman"/>
              </w:rPr>
              <w:t>Dinter</w:t>
            </w:r>
            <w:proofErr w:type="spellEnd"/>
          </w:p>
        </w:tc>
        <w:tc>
          <w:tcPr>
            <w:tcW w:w="4322" w:type="dxa"/>
          </w:tcPr>
          <w:p w:rsidR="003B1A39" w:rsidRDefault="00563A4C" w:rsidP="00214F00">
            <w:pPr>
              <w:jc w:val="center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19 de mai</w:t>
            </w:r>
            <w:r w:rsidR="00214F00">
              <w:rPr>
                <w:rFonts w:ascii="Times New Roman" w:hAnsi="Times New Roman" w:cs="Times New Roman"/>
              </w:rPr>
              <w:t>o a 20 de junho de 2014</w:t>
            </w:r>
          </w:p>
        </w:tc>
      </w:tr>
      <w:tr w:rsidR="003B1A39" w:rsidTr="003B1A39">
        <w:tc>
          <w:tcPr>
            <w:tcW w:w="4322" w:type="dxa"/>
          </w:tcPr>
          <w:p w:rsidR="003B1A39" w:rsidRDefault="00563A4C" w:rsidP="003B1A39">
            <w:pPr>
              <w:jc w:val="both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Apresentação de Novas Propostas de Mestrado e Doutorado Acadêmicos (APCN)</w:t>
            </w:r>
          </w:p>
        </w:tc>
        <w:tc>
          <w:tcPr>
            <w:tcW w:w="4322" w:type="dxa"/>
          </w:tcPr>
          <w:p w:rsidR="003B1A39" w:rsidRDefault="00563A4C" w:rsidP="00214F00">
            <w:pPr>
              <w:jc w:val="center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23</w:t>
            </w:r>
            <w:r w:rsidR="00214F00">
              <w:rPr>
                <w:rFonts w:ascii="Times New Roman" w:hAnsi="Times New Roman" w:cs="Times New Roman"/>
              </w:rPr>
              <w:t xml:space="preserve"> de junho a 25 de julho de 2014</w:t>
            </w:r>
          </w:p>
        </w:tc>
      </w:tr>
    </w:tbl>
    <w:p w:rsidR="003B1A39" w:rsidRPr="003B1A39" w:rsidRDefault="003B1A39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C62F4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assinatura.</w:t>
      </w:r>
    </w:p>
    <w:p w:rsidR="00F865A3" w:rsidRPr="003B1A39" w:rsidRDefault="00F865A3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C62F4" w:rsidRDefault="000C62F4" w:rsidP="00563A4C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563A4C">
        <w:rPr>
          <w:rFonts w:ascii="Times New Roman" w:hAnsi="Times New Roman" w:cs="Times New Roman"/>
          <w:b/>
        </w:rPr>
        <w:t>JORGE ALMEIDA GUIMARÃES</w:t>
      </w:r>
    </w:p>
    <w:p w:rsidR="00F865A3" w:rsidRPr="00563A4C" w:rsidRDefault="00F865A3" w:rsidP="00563A4C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</w:p>
    <w:p w:rsidR="00C54E4A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(*) Republicada por ter saído, no DOU de 29-1-2014, Seção 1, pág. 25, com incorreção no original.</w:t>
      </w:r>
    </w:p>
    <w:p w:rsidR="004E1E34" w:rsidRPr="003B1A39" w:rsidRDefault="004E1E3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E1E34" w:rsidRPr="00FE1E16" w:rsidRDefault="004E1E34" w:rsidP="004E1E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="00E95D4C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C62F4" w:rsidRPr="00F865A3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EDUCAÇÃO PROFISSIONAL</w:t>
      </w:r>
    </w:p>
    <w:p w:rsidR="000C62F4" w:rsidRPr="00F865A3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E TECNOLÓGICA</w:t>
      </w:r>
    </w:p>
    <w:p w:rsidR="000C62F4" w:rsidRPr="00F865A3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PORTARIA N</w:t>
      </w:r>
      <w:r w:rsidR="00F865A3">
        <w:rPr>
          <w:rFonts w:ascii="Times New Roman" w:hAnsi="Times New Roman" w:cs="Times New Roman"/>
          <w:b/>
        </w:rPr>
        <w:t>º</w:t>
      </w:r>
      <w:r w:rsidRPr="00F865A3">
        <w:rPr>
          <w:rFonts w:ascii="Times New Roman" w:hAnsi="Times New Roman" w:cs="Times New Roman"/>
          <w:b/>
        </w:rPr>
        <w:t xml:space="preserve"> 2, DE 29 DE JANEIRO DE </w:t>
      </w:r>
      <w:proofErr w:type="gramStart"/>
      <w:r w:rsidRPr="00F865A3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EDUCAÇÃO PROFISSIONAL E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TECNOLÓGICA DO MINISTÉRIO DA EDUCAÇÃO, no uso das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atribuições que lhe confere o art. 13, Anexo I, do Decreto n° 7.690,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02 de março de 2012, e considerando o disposto no art. 214 da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Constituição Federal, na Lei Complementar nº 101 de 04 de maio de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2000, na Lei nº 12.919 de 24 de dezembro de 2013, na Lei nº 12.513de 26 de outubro de 2011, alterada pela Lei nº 12.816, de </w:t>
      </w:r>
      <w:proofErr w:type="gramStart"/>
      <w:r w:rsidRPr="003B1A39">
        <w:rPr>
          <w:rFonts w:ascii="Times New Roman" w:hAnsi="Times New Roman" w:cs="Times New Roman"/>
        </w:rPr>
        <w:t>5</w:t>
      </w:r>
      <w:proofErr w:type="gramEnd"/>
      <w:r w:rsidRPr="003B1A39">
        <w:rPr>
          <w:rFonts w:ascii="Times New Roman" w:hAnsi="Times New Roman" w:cs="Times New Roman"/>
        </w:rPr>
        <w:t xml:space="preserve"> de junho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2013 no Decreto nº 6.170 de 25 de julho de 2007, na Resolução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FNDE nº 07, de 20 de março de 2013, na Portaria/MEC nº 168, de 7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março de 2013, e na Nota Técnica nº 60/2014/DIR/SETEC/MEC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da Diretoria de integração das Redes de Educação Profissional e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Tecnológica,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1º Tornar público que o Serviço Nacional de Aprendizagem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Comercial - SENAC, o Serviço Nacional de Aprendizagem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Industrial - SENAI, o Serviço Nacional de Aprendizagem Rural -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SENAR e o Serviço Nacional de Aprendizagem do Transporte -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SENAT firmaram termo de adesão ao Programa Nacional de Acesso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ao Ensino Técnico e Emprego - PRONATEC na condição de parceiros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ofertantes de vagas em cursos de educação profissional técnica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nível médio e cursos de formação inicial e continuada ou qualificação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profissional, no âmbito da Bolsa-Formação, estando aptos a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receber recursos financeiros a serem transferidos pelo Fundo Nacional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Desenvolvimento da Educação - FNDE, que totalizam R$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899.956.460,00 (oitocentos e noventa e nove milhões, novecentos e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cinquenta e seis mil, quatrocentos e sessenta reais), visando atender o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custeio da ação Bolsa-Formação, conforme detalhamento descrito no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Anexo I desta Portaria.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Os créditos orçamentários obedecem à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classificação Funcional Programática 12.363.2031.20</w:t>
      </w:r>
      <w:proofErr w:type="gramStart"/>
      <w:r w:rsidRPr="003B1A39">
        <w:rPr>
          <w:rFonts w:ascii="Times New Roman" w:hAnsi="Times New Roman" w:cs="Times New Roman"/>
        </w:rPr>
        <w:t>RW.</w:t>
      </w:r>
      <w:proofErr w:type="gramEnd"/>
      <w:r w:rsidRPr="003B1A39">
        <w:rPr>
          <w:rFonts w:ascii="Times New Roman" w:hAnsi="Times New Roman" w:cs="Times New Roman"/>
        </w:rPr>
        <w:t>0001 -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Apoio à Formação Profissional e </w:t>
      </w:r>
      <w:r w:rsidRPr="003B1A39">
        <w:rPr>
          <w:rFonts w:ascii="Times New Roman" w:hAnsi="Times New Roman" w:cs="Times New Roman"/>
        </w:rPr>
        <w:lastRenderedPageBreak/>
        <w:t>Tecnológica - PTRES 061645 -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Plano Interno QFP05P0602P, Bolsa-Formação PRONATEC </w:t>
      </w:r>
      <w:r w:rsidR="00F865A3">
        <w:rPr>
          <w:rFonts w:ascii="Times New Roman" w:hAnsi="Times New Roman" w:cs="Times New Roman"/>
        </w:rPr>
        <w:t>–</w:t>
      </w:r>
      <w:r w:rsidRPr="003B1A39">
        <w:rPr>
          <w:rFonts w:ascii="Times New Roman" w:hAnsi="Times New Roman" w:cs="Times New Roman"/>
        </w:rPr>
        <w:t xml:space="preserve"> Sistema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"S".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da sua publicação.</w:t>
      </w:r>
    </w:p>
    <w:p w:rsidR="000C62F4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MARCO ANTONIO DE OLIVEIRA</w:t>
      </w:r>
    </w:p>
    <w:p w:rsidR="00F865A3" w:rsidRPr="00F865A3" w:rsidRDefault="00F865A3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ANEXO I</w:t>
      </w:r>
    </w:p>
    <w:p w:rsidR="00F865A3" w:rsidRDefault="00F865A3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865A3" w:rsidTr="00F865A3">
        <w:tc>
          <w:tcPr>
            <w:tcW w:w="2881" w:type="dxa"/>
          </w:tcPr>
          <w:p w:rsidR="00F865A3" w:rsidRDefault="00F865A3" w:rsidP="00F8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2881" w:type="dxa"/>
          </w:tcPr>
          <w:p w:rsidR="00F865A3" w:rsidRDefault="00F865A3" w:rsidP="00F8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882" w:type="dxa"/>
          </w:tcPr>
          <w:p w:rsidR="00F865A3" w:rsidRPr="00F865A3" w:rsidRDefault="00F865A3" w:rsidP="00F865A3">
            <w:pPr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Total (R$)</w:t>
            </w:r>
          </w:p>
        </w:tc>
      </w:tr>
      <w:tr w:rsidR="00F865A3" w:rsidTr="00F865A3">
        <w:tc>
          <w:tcPr>
            <w:tcW w:w="2881" w:type="dxa"/>
          </w:tcPr>
          <w:p w:rsidR="00F865A3" w:rsidRDefault="00F865A3" w:rsidP="00F865A3">
            <w:pPr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33.469.172/0001-68</w:t>
            </w:r>
          </w:p>
        </w:tc>
        <w:tc>
          <w:tcPr>
            <w:tcW w:w="2881" w:type="dxa"/>
          </w:tcPr>
          <w:p w:rsidR="00F865A3" w:rsidRDefault="00F865A3" w:rsidP="00F8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SENAC</w:t>
            </w:r>
          </w:p>
        </w:tc>
        <w:tc>
          <w:tcPr>
            <w:tcW w:w="2882" w:type="dxa"/>
          </w:tcPr>
          <w:p w:rsidR="00F865A3" w:rsidRPr="00F865A3" w:rsidRDefault="00F865A3" w:rsidP="00F865A3">
            <w:pPr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305.214.560,00</w:t>
            </w:r>
          </w:p>
        </w:tc>
      </w:tr>
      <w:tr w:rsidR="00F865A3" w:rsidTr="00F865A3">
        <w:tc>
          <w:tcPr>
            <w:tcW w:w="2881" w:type="dxa"/>
          </w:tcPr>
          <w:p w:rsidR="00F865A3" w:rsidRDefault="00F865A3" w:rsidP="00F865A3">
            <w:pPr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33.564.543/0001-90</w:t>
            </w:r>
          </w:p>
        </w:tc>
        <w:tc>
          <w:tcPr>
            <w:tcW w:w="2881" w:type="dxa"/>
          </w:tcPr>
          <w:p w:rsidR="00F865A3" w:rsidRDefault="00F865A3" w:rsidP="00F8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SENAI</w:t>
            </w:r>
          </w:p>
        </w:tc>
        <w:tc>
          <w:tcPr>
            <w:tcW w:w="2882" w:type="dxa"/>
          </w:tcPr>
          <w:p w:rsidR="00F865A3" w:rsidRPr="00F865A3" w:rsidRDefault="00F865A3" w:rsidP="00F865A3">
            <w:pPr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567.506.100,00</w:t>
            </w:r>
          </w:p>
        </w:tc>
      </w:tr>
      <w:tr w:rsidR="00F865A3" w:rsidTr="00F865A3">
        <w:tc>
          <w:tcPr>
            <w:tcW w:w="2881" w:type="dxa"/>
          </w:tcPr>
          <w:p w:rsidR="00F865A3" w:rsidRDefault="00F865A3" w:rsidP="00F865A3">
            <w:pPr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37.138.245/0001-90</w:t>
            </w:r>
          </w:p>
        </w:tc>
        <w:tc>
          <w:tcPr>
            <w:tcW w:w="2881" w:type="dxa"/>
          </w:tcPr>
          <w:p w:rsidR="00F865A3" w:rsidRDefault="00F865A3" w:rsidP="00F8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SENAR</w:t>
            </w:r>
          </w:p>
        </w:tc>
        <w:tc>
          <w:tcPr>
            <w:tcW w:w="2882" w:type="dxa"/>
          </w:tcPr>
          <w:p w:rsidR="00F865A3" w:rsidRPr="00F865A3" w:rsidRDefault="00F865A3" w:rsidP="00F865A3">
            <w:pPr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10.873.410,00</w:t>
            </w:r>
          </w:p>
        </w:tc>
      </w:tr>
      <w:tr w:rsidR="00F865A3" w:rsidTr="00F865A3">
        <w:tc>
          <w:tcPr>
            <w:tcW w:w="2881" w:type="dxa"/>
          </w:tcPr>
          <w:p w:rsidR="00F865A3" w:rsidRDefault="00F865A3" w:rsidP="00F865A3">
            <w:pPr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73.471.963/0001-47</w:t>
            </w:r>
          </w:p>
        </w:tc>
        <w:tc>
          <w:tcPr>
            <w:tcW w:w="2881" w:type="dxa"/>
          </w:tcPr>
          <w:p w:rsidR="00F865A3" w:rsidRDefault="00F865A3" w:rsidP="00F8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A39">
              <w:rPr>
                <w:rFonts w:ascii="Times New Roman" w:hAnsi="Times New Roman" w:cs="Times New Roman"/>
              </w:rPr>
              <w:t>SENAT</w:t>
            </w:r>
          </w:p>
        </w:tc>
        <w:tc>
          <w:tcPr>
            <w:tcW w:w="2882" w:type="dxa"/>
          </w:tcPr>
          <w:p w:rsidR="00F865A3" w:rsidRPr="00F865A3" w:rsidRDefault="00F865A3" w:rsidP="00F865A3">
            <w:pPr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16.362.390,00</w:t>
            </w:r>
          </w:p>
        </w:tc>
      </w:tr>
      <w:tr w:rsidR="00F865A3" w:rsidTr="00F865A3">
        <w:tc>
          <w:tcPr>
            <w:tcW w:w="5762" w:type="dxa"/>
            <w:gridSpan w:val="2"/>
          </w:tcPr>
          <w:p w:rsidR="00F865A3" w:rsidRDefault="00F865A3" w:rsidP="00F865A3">
            <w:pPr>
              <w:jc w:val="both"/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882" w:type="dxa"/>
          </w:tcPr>
          <w:p w:rsidR="00F865A3" w:rsidRDefault="00F865A3" w:rsidP="00F865A3">
            <w:pPr>
              <w:rPr>
                <w:rFonts w:ascii="Times New Roman" w:hAnsi="Times New Roman" w:cs="Times New Roman"/>
              </w:rPr>
            </w:pPr>
            <w:r w:rsidRPr="003B1A39">
              <w:rPr>
                <w:rFonts w:ascii="Times New Roman" w:hAnsi="Times New Roman" w:cs="Times New Roman"/>
              </w:rPr>
              <w:t>899.956.460,00</w:t>
            </w:r>
          </w:p>
        </w:tc>
      </w:tr>
    </w:tbl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C62F4" w:rsidRPr="00F865A3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F865A3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 xml:space="preserve">PORTARIA Nº 13, DE 29 DE JANEIRO DE </w:t>
      </w:r>
      <w:proofErr w:type="gramStart"/>
      <w:r w:rsidRPr="00F865A3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 8.066, de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2, de 1º de fevereiro de 2013, do Ministério da Educação,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3B1A39">
        <w:rPr>
          <w:rFonts w:ascii="Times New Roman" w:hAnsi="Times New Roman" w:cs="Times New Roman"/>
        </w:rPr>
        <w:t>9</w:t>
      </w:r>
      <w:proofErr w:type="gramEnd"/>
      <w:r w:rsidRPr="003B1A39">
        <w:rPr>
          <w:rFonts w:ascii="Times New Roman" w:hAnsi="Times New Roman" w:cs="Times New Roman"/>
        </w:rPr>
        <w:t xml:space="preserve"> de</w:t>
      </w:r>
      <w:r w:rsidR="00F865A3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maio de 2006, alterado pelo Decreto nº 6.303, de 12 de dezembro de 2007.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0C62F4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JORGE RODRIGO ARAÚJO MESSIAS</w:t>
      </w:r>
    </w:p>
    <w:p w:rsidR="00F865A3" w:rsidRPr="00F865A3" w:rsidRDefault="00F865A3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A3" w:rsidRPr="00FE1E16" w:rsidRDefault="00F865A3" w:rsidP="00F865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="004E1E34"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F865A3" w:rsidRPr="00C952CF" w:rsidRDefault="00F865A3" w:rsidP="00F865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865A3" w:rsidRDefault="00F865A3" w:rsidP="00F865A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4E1E34" w:rsidRDefault="004E1E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1E34" w:rsidRPr="00F865A3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F865A3" w:rsidRDefault="000C62F4" w:rsidP="00F865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 xml:space="preserve">PORTARIA Nº 14, DE 29 DE JANEIRO DE </w:t>
      </w:r>
      <w:proofErr w:type="gramStart"/>
      <w:r w:rsidRPr="00F865A3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23000.015856/2013-16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28/2014-CGFPR/DIREG/SERES/MEC,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 do curso de graduação em Medicina, bacharelado, ministrado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pelo Centro Universitário do Estado do Pará - CESUPA, localizada no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Município de Belém, Estado do Pará, mantida pela Associação Cultural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 Educacional do Pará.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116 (cento e dezesseis).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2° Esta Portaria entra em vigor na data de sua publicação.</w:t>
      </w:r>
    </w:p>
    <w:p w:rsidR="000C62F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15,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23000.015733/2013-77e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29/2014-CGFPR/DIREG/SERES/MEC, resolve:</w:t>
      </w:r>
    </w:p>
    <w:p w:rsidR="004E1E34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 do curso de graduação em Medicina, bacharelado, ministrado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Universidade Anhembi Morumbi, localizada no Município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São Paulo, Estado de São Paulo, mantida pelo Ministério da Educação.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130 (cento e trinta).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2° Esta Portaria entra em vigor na data de sua publicação.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16,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23000.015857/2013-52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30/2014-CGFPR/DIREG/SERES/MEC,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autorizativo, do curso de graduação em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Medicina, bacharelado, ministrado pela Universidade Federal de Mato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Grosso do Sul - UFMS, localizada no Município de Campo Grande,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Estado de Mato de Grosso do Sul, mantida pela Fundação Universidade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Federal de Mato de Grosso do Sul.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80 (oitenta).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0C62F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1E34" w:rsidRPr="00FE1E16" w:rsidRDefault="004E1E34" w:rsidP="004E1E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1E34" w:rsidRPr="00F865A3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17,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23000.009573/2013-27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31/2014-CGFPR/DIREG/SERES/MEC,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 do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graduação em Medicina, bacharelado, ministrado pela Universidade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Federal do Amapá, localizada no Município de Macapá, Estado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Amapá, mantida pela Fundação Universidade Federal 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Amapá.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60 (sessenta).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2° Esta Portaria entra em vigor na data de sua publicação.</w:t>
      </w:r>
    </w:p>
    <w:p w:rsid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FE1E16" w:rsidRDefault="004E1E34" w:rsidP="004E1E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18,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23000.015693/2013-63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32/2014-CGFPR/DIREG/SERES/MEC,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 xml:space="preserve">Art. 1° Fica deferido </w:t>
      </w:r>
      <w:proofErr w:type="gramStart"/>
      <w:r w:rsidRPr="003B1A39">
        <w:rPr>
          <w:rFonts w:ascii="Times New Roman" w:hAnsi="Times New Roman" w:cs="Times New Roman"/>
        </w:rPr>
        <w:t>o pedido de aumento de vagas do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graduação em Medicina, bacharelado, ministrado pela Universidade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Positivo</w:t>
      </w:r>
      <w:proofErr w:type="gramEnd"/>
      <w:r w:rsidRPr="003B1A39">
        <w:rPr>
          <w:rFonts w:ascii="Times New Roman" w:hAnsi="Times New Roman" w:cs="Times New Roman"/>
        </w:rPr>
        <w:t>, localizada no Município de Curitiba, Estado do Paraná,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mantida pelo Centro de Estudos Superiores Positivo LTDA.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94 (noventa e quatro).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2° Esta Portaria entra em vigor na data de sua publicação.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19,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23000.015889/2013-58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33/2014-CGFPR/DIREG/SERES/MEC,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parcialmente deferido o pedido de aumento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vagas, sob a forma de aditamento ao ato de renovação de reconhecimento,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curso de graduação em Medicina, bacharelado, ministrado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Faculdade Evangélica do Paraná, localizada no Município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Curitiba, Estado do Paraná, mantida pela Sociedade Evangélica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Beneficente do Paraná.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120 (cento e vinte).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FE1E16" w:rsidRDefault="004E1E34" w:rsidP="004E1E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E1E34" w:rsidRDefault="004E1E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1E34" w:rsidRPr="00F865A3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20,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23000.002010/2013-16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34/2014-CGFPR/DIREG/SERES/MEC,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vagas, sob a forma de aditamento ao ato de renovação de reconhecimento,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curso de graduação em Medicina, bacharelado, ministrado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Universidade de Santo Amaro - UNISA, localizada no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Município de São Paulo, Estado de São Paulo, mantida </w:t>
      </w:r>
      <w:proofErr w:type="gramStart"/>
      <w:r w:rsidRPr="003B1A39">
        <w:rPr>
          <w:rFonts w:ascii="Times New Roman" w:hAnsi="Times New Roman" w:cs="Times New Roman"/>
        </w:rPr>
        <w:t>pela Obras</w:t>
      </w:r>
      <w:proofErr w:type="gramEnd"/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Sociais e Educacionais de Luz.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100 (cem).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21,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23000.015562/2013-86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35/2014-CGFPR/DIREG/SERES/MEC,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autorizativo, do curso de graduação em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Medicina, bacharelado, ministrado pela Faculdade de Ciências Médicas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da Santa Casa São Paulo, localizada no Município de São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Paulo, Estado de São Paulo, mantida pela Fundação Arnaldo Vieira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Carvalho.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120 (cento e vinte).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22,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23000.015546/2013-93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48/2014-CGFPR/DIREG/SERES/MEC,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autorizativo, do curso de graduação em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Medicina, bacharelado, ministrado pelo Centro Universitário de Belo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Horizonte, localizada no Município de Belo Horizonte, Estado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Minas Gerais, mantida pelo Instituto Mineiro de Educação e Cultura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Uni-BH S/A.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100 (cem).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FE1E16" w:rsidRDefault="004E1E34" w:rsidP="004E1E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E1E34" w:rsidRDefault="004E1E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1E34" w:rsidRPr="00F865A3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23,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tendo em vista o Decreto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5.773, de 9 de maio de 2006, e suas alterações, a Portaria Normativa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40, de 12 de dezembro de 2007, republicada em 29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dezembro de 2010, a Portaria Normativa MEC nº 3, de 1º de fevereiro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2013, e considerando o processo nº 23000.007589/2012-14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 o Parecer nº 49/2013-CGFPR/DIREG/SERES/MEC,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vagas, sob a forma de aditamento ao ato de renovação de reconhecimento,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curso de graduação em Medicina, bacharelado, ministrado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Universidade Metropolitana de Santos, localizada no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Município de Santos, Estado de São Paulo, mantida pelo Centro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Estudos </w:t>
      </w:r>
      <w:proofErr w:type="gramStart"/>
      <w:r w:rsidRPr="003B1A39">
        <w:rPr>
          <w:rFonts w:ascii="Times New Roman" w:hAnsi="Times New Roman" w:cs="Times New Roman"/>
        </w:rPr>
        <w:t>Unificados Bandeirante</w:t>
      </w:r>
      <w:proofErr w:type="gramEnd"/>
      <w:r w:rsidRPr="003B1A39">
        <w:rPr>
          <w:rFonts w:ascii="Times New Roman" w:hAnsi="Times New Roman" w:cs="Times New Roman"/>
        </w:rPr>
        <w:t>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100 (cem).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de sua publicação.</w:t>
      </w: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>JORGE RODRIGO ARAÚJO MESSIAS</w:t>
      </w:r>
    </w:p>
    <w:p w:rsidR="004E1E34" w:rsidRP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4E1E34" w:rsidRDefault="000C62F4" w:rsidP="004E1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34">
        <w:rPr>
          <w:rFonts w:ascii="Times New Roman" w:hAnsi="Times New Roman" w:cs="Times New Roman"/>
          <w:b/>
        </w:rPr>
        <w:t xml:space="preserve">PORTARIA Nº 24, DE 29 DE JANEIRO DE </w:t>
      </w:r>
      <w:proofErr w:type="gramStart"/>
      <w:r w:rsidRPr="004E1E34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Portaria Normativa MEC nº 3, de 1º de fevereiro de 2013, 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23000.007594/2012-27 e o Parecer nº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50/2013-CGFPR/DIREG/SERES/MEC,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 do curso de graduação em Medicina, bacharelado, ministrado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Universidade Anhanguera - UNIDERP, localizada no Município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Campo Grande, Estado do Mato Grosso do Sul, mantida pela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Anhanguera Educacional LTDA.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4E1E34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120 (cento e vinte).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2° Esta Portaria entra em vigor na data de sua publicação.</w:t>
      </w:r>
    </w:p>
    <w:p w:rsidR="000C62F4" w:rsidRDefault="000C62F4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BB0">
        <w:rPr>
          <w:rFonts w:ascii="Times New Roman" w:hAnsi="Times New Roman" w:cs="Times New Roman"/>
          <w:b/>
        </w:rPr>
        <w:t>JORGE RODRIGO ARAÚJO MESSIAS</w:t>
      </w:r>
    </w:p>
    <w:p w:rsidR="00E77BB0" w:rsidRDefault="00E77BB0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BB0" w:rsidRPr="00FE1E16" w:rsidRDefault="00E77BB0" w:rsidP="00E77B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77BB0" w:rsidRDefault="00E77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77BB0" w:rsidRDefault="00E77BB0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77BB0" w:rsidRPr="00F865A3" w:rsidRDefault="00E77BB0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E77BB0" w:rsidRDefault="000C62F4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BB0">
        <w:rPr>
          <w:rFonts w:ascii="Times New Roman" w:hAnsi="Times New Roman" w:cs="Times New Roman"/>
          <w:b/>
        </w:rPr>
        <w:t xml:space="preserve">PORTARIA Nº 25, DE 29 DE JANEIRO DE </w:t>
      </w:r>
      <w:proofErr w:type="gramStart"/>
      <w:r w:rsidRPr="00E77BB0">
        <w:rPr>
          <w:rFonts w:ascii="Times New Roman" w:hAnsi="Times New Roman" w:cs="Times New Roman"/>
          <w:b/>
        </w:rPr>
        <w:t>2014</w:t>
      </w:r>
      <w:proofErr w:type="gramEnd"/>
    </w:p>
    <w:p w:rsidR="00E77BB0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Instrução Normativa SERES/MEC nº 3, de 23 de janeiro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2013, e considerando o processo nº 23000.008229/2013-11 e o Parecer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nº 39/2014-CGFPR/DIREG/SERES/MEC, resolve: 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 do curso de graduação em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Enfermagem (cód. 101135), bacharelado, presencial, ministrado pela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Faculdade Integrada Tiradentes - FITS, localizada no Município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Maceió, Estado de Alagoas, mantida pela Sociedade de Educação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Tiradentes S/S LTDA.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300 (trezentas).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O deferimento do pedido de aumento de vagas implica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 vedação da aplicação de regras de desoneração de visita e 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obrigatoriedade de visita in loco, pelo Instituto Nacional de Estudos 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Pesquisas Educacionais Anísio Teixeira- INEP, para análise e expedição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próximo ato regulatório do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Pr="00E77BB0" w:rsidRDefault="000C62F4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BB0">
        <w:rPr>
          <w:rFonts w:ascii="Times New Roman" w:hAnsi="Times New Roman" w:cs="Times New Roman"/>
          <w:b/>
        </w:rPr>
        <w:t>JORGE RODRIGO ARAÚJO MESSIAS</w:t>
      </w:r>
    </w:p>
    <w:p w:rsidR="00E77BB0" w:rsidRPr="00E77BB0" w:rsidRDefault="00E77BB0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E77BB0" w:rsidRDefault="000C62F4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BB0">
        <w:rPr>
          <w:rFonts w:ascii="Times New Roman" w:hAnsi="Times New Roman" w:cs="Times New Roman"/>
          <w:b/>
        </w:rPr>
        <w:t xml:space="preserve">PORTARIA Nº 26, DE 29 DE JANEIRO DE </w:t>
      </w:r>
      <w:proofErr w:type="gramStart"/>
      <w:r w:rsidRPr="00E77BB0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Decreto nº 7.690, de 02 de março de 2012, alterado pelo Decreto n°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8.066, de </w:t>
      </w:r>
      <w:proofErr w:type="gramStart"/>
      <w:r w:rsidRPr="003B1A39">
        <w:rPr>
          <w:rFonts w:ascii="Times New Roman" w:hAnsi="Times New Roman" w:cs="Times New Roman"/>
        </w:rPr>
        <w:t>7</w:t>
      </w:r>
      <w:proofErr w:type="gramEnd"/>
      <w:r w:rsidRPr="003B1A39">
        <w:rPr>
          <w:rFonts w:ascii="Times New Roman" w:hAnsi="Times New Roman" w:cs="Times New Roman"/>
        </w:rPr>
        <w:t xml:space="preserve"> de agosto de 2013, tendo em vista o Decreto nº 5.773,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Instrução Normativa MEC nº 3, de 23 de janeiro de 2013, 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23000.003839/2013-28 e o Parecer nº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46/2014-CGFPR/DIREG/SERES/MEC,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 do curso de graduação em</w:t>
      </w:r>
      <w:r w:rsidR="00E77BB0">
        <w:rPr>
          <w:rFonts w:ascii="Times New Roman" w:hAnsi="Times New Roman" w:cs="Times New Roman"/>
        </w:rPr>
        <w:t xml:space="preserve"> </w:t>
      </w:r>
      <w:proofErr w:type="spellStart"/>
      <w:r w:rsidRPr="003B1A39">
        <w:rPr>
          <w:rFonts w:ascii="Times New Roman" w:hAnsi="Times New Roman" w:cs="Times New Roman"/>
        </w:rPr>
        <w:t>Desing</w:t>
      </w:r>
      <w:proofErr w:type="spellEnd"/>
      <w:r w:rsidRPr="003B1A39">
        <w:rPr>
          <w:rFonts w:ascii="Times New Roman" w:hAnsi="Times New Roman" w:cs="Times New Roman"/>
        </w:rPr>
        <w:t xml:space="preserve"> de Moda (cód. 106829), bacharelado, presencial, ministrado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Faculdade de Artes Plásticas da Fundação Armando Alvares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Penteado - FAAP, localizada no Município de São Paulo, Estado de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São Paulo, mantida pela Fundação Armando Alvares Penteado.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160 (cento e sessenta).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O deferimento do pedido de aumento de vagas implica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 vedação da aplicação de regras de desoneração de visita e 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obrigatoriedade de visita in loco, pelo Instituto Nacional de Estudos e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Pesquisas Educacionais Anísio Teixeira- INEP, para análise e expedição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próximo ato regulatório do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Default="000C62F4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BB0">
        <w:rPr>
          <w:rFonts w:ascii="Times New Roman" w:hAnsi="Times New Roman" w:cs="Times New Roman"/>
          <w:b/>
        </w:rPr>
        <w:t>JORGE RODRIGO ARAÚJO MESSIAS</w:t>
      </w:r>
    </w:p>
    <w:p w:rsidR="00E77BB0" w:rsidRDefault="00E77BB0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BB0" w:rsidRPr="00FE1E16" w:rsidRDefault="00E77BB0" w:rsidP="00E77B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77BB0" w:rsidRPr="00E77BB0" w:rsidRDefault="00E77BB0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BB0" w:rsidRDefault="00E77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219EE" w:rsidRPr="00F865A3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E77BB0" w:rsidRDefault="000C62F4" w:rsidP="00E77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BB0">
        <w:rPr>
          <w:rFonts w:ascii="Times New Roman" w:hAnsi="Times New Roman" w:cs="Times New Roman"/>
          <w:b/>
        </w:rPr>
        <w:t xml:space="preserve">PORTARIA Nº 27, DE 29 DE JANEIRO DE </w:t>
      </w:r>
      <w:proofErr w:type="gramStart"/>
      <w:r w:rsidRPr="00E77BB0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E77BB0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Instrução Normativa SERES/MEC nº 3, de 23 de janeiro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2013, e considerando o processo nº 23000.008225/2013-32 e o Parecer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45/2014-CGFPR/DIREG/SERES/MEC,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 do curso de graduação em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Psicologia (cód. 59561), bacharelado, presencial, ministrado </w:t>
      </w:r>
      <w:proofErr w:type="gramStart"/>
      <w:r w:rsidRPr="003B1A39">
        <w:rPr>
          <w:rFonts w:ascii="Times New Roman" w:hAnsi="Times New Roman" w:cs="Times New Roman"/>
        </w:rPr>
        <w:t>pela Faculdades</w:t>
      </w:r>
      <w:proofErr w:type="gramEnd"/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Integradas Pitágoras - FIP - MOC, localizada no Município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Montes Claros, Estado de Minas Gerais, mantida pela Sociedade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Padrão de Educação Superior Ltda.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200 (duzentas).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O deferimento do pedido de aumento de vagas implica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 vedação da aplicação de regras de desoneração de visita e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obrigatoriedade de visita in loco, pelo Instituto Nacional de Estudos 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Pesquisas Educacionais Anísio Teixeira- INEP, para análise e expedição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próximo ato regulatório do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>JORGE RODRIGO ARAÚJO MESSIAS</w:t>
      </w:r>
    </w:p>
    <w:p w:rsidR="003219EE" w:rsidRP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 xml:space="preserve">PORTARIA Nº 28, DE 29 DE JANEIRO DE </w:t>
      </w:r>
      <w:proofErr w:type="gramStart"/>
      <w:r w:rsidRPr="003219EE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Instrução Normativa MEC nº 3, de 23 de janeiro de 2013, 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considerando o processo nº 23000.008232/2013-34 e o Parecer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44/2014-CGFPR/DIREG/SERES/MEC,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aumento de vagas, sob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forma de aditamento ao ato autorizativo do curso de graduação em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Administração (cód. 79483), bacharelado, presencial, ministrado pela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Faculdade </w:t>
      </w:r>
      <w:proofErr w:type="spellStart"/>
      <w:r w:rsidRPr="003B1A39">
        <w:rPr>
          <w:rFonts w:ascii="Times New Roman" w:hAnsi="Times New Roman" w:cs="Times New Roman"/>
        </w:rPr>
        <w:t>Inedi</w:t>
      </w:r>
      <w:proofErr w:type="spellEnd"/>
      <w:r w:rsidRPr="003B1A39">
        <w:rPr>
          <w:rFonts w:ascii="Times New Roman" w:hAnsi="Times New Roman" w:cs="Times New Roman"/>
        </w:rPr>
        <w:t xml:space="preserve"> - CESUCA, localizada no Município de Cachoeirinha,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Estado do Rio Grande do Sul, mantida pela CESUCA </w:t>
      </w:r>
      <w:r w:rsidR="003219EE">
        <w:rPr>
          <w:rFonts w:ascii="Times New Roman" w:hAnsi="Times New Roman" w:cs="Times New Roman"/>
        </w:rPr>
        <w:t>–</w:t>
      </w:r>
      <w:r w:rsidRPr="003B1A39">
        <w:rPr>
          <w:rFonts w:ascii="Times New Roman" w:hAnsi="Times New Roman" w:cs="Times New Roman"/>
        </w:rPr>
        <w:t xml:space="preserve"> Complexo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 Ensino Superior de Cachoeirinha </w:t>
      </w:r>
      <w:proofErr w:type="gramStart"/>
      <w:r w:rsidRPr="003B1A39">
        <w:rPr>
          <w:rFonts w:ascii="Times New Roman" w:hAnsi="Times New Roman" w:cs="Times New Roman"/>
        </w:rPr>
        <w:t>LTDA -ME</w:t>
      </w:r>
      <w:proofErr w:type="gramEnd"/>
      <w:r w:rsidRPr="003B1A39">
        <w:rPr>
          <w:rFonts w:ascii="Times New Roman" w:hAnsi="Times New Roman" w:cs="Times New Roman"/>
        </w:rPr>
        <w:t>.</w:t>
      </w:r>
    </w:p>
    <w:p w:rsidR="003219EE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referido no caput passa a ser 150 (cento e cinquenta). 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O deferimento do pedido de aumento de vagas implica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 vedação da aplicação de regras de desoneração de visita e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obrigatoriedade de visita in loco, pelo Instituto Nacional de Estudos 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Pesquisas Educacionais Anísio Teixeira- INEP, para análise e expedição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próximo ato regulatório do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>JORGE RODRIGO ARAÚJO MESSIAS</w:t>
      </w:r>
    </w:p>
    <w:p w:rsid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9EE" w:rsidRPr="00FE1E16" w:rsidRDefault="003219EE" w:rsidP="003219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15/16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3219EE" w:rsidRDefault="003219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219EE" w:rsidRPr="00F865A3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 xml:space="preserve">PORTARIA Nº 29, DE 29 DE JANEIRO DE </w:t>
      </w:r>
      <w:proofErr w:type="gramStart"/>
      <w:r w:rsidRPr="003219EE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Instrução Normativa SERES/MEC nº 3, de 23 de janeiro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2013, e considerando o processo nº 23000.008231/2013-90 e o Parecer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42/2014-CGFPR/DIREG/SERES/MEC,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vagas, sob a forma de aditamento ao ato autorizativo do curso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graduação em Pedagogia (cód. 118768), licenciatura, presencial, ministrado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Faculdade São Braz, localizada no Município de Curitiba,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Estado do Paraná, mantida pelo Instituto Superior de Educação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da América Latina S/S LTDA - ISAL - EPP.</w:t>
      </w:r>
    </w:p>
    <w:p w:rsidR="003219EE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220 (duzentas e vinte).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O deferimento do pedido de aumento de vagas implica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 vedação da aplicação de regras de desoneração de visita e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obrigatoriedade de visita in loco, pelo Instituto Nacional de Estudos 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Pesquisas Educacionais Anísio Teixeira- INEP, para análise e expedição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próximo ato regulatório do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>JORGE RODRIGO ARAÚJO MESSIAS</w:t>
      </w:r>
    </w:p>
    <w:p w:rsidR="003219EE" w:rsidRP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 xml:space="preserve">PORTARIA Nº 30, DE 29 DE JANEIRO DE </w:t>
      </w:r>
      <w:proofErr w:type="gramStart"/>
      <w:r w:rsidRPr="003219EE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MEC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40, de 12 de dezembro de 2007, republicada em 29 de dezembro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2010, a Instrução Normativa SERES/MEC nº 3, de 23 de janeiro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2013, e considerando o processo nº 23000.008230/2013-45 e o Parecer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43/2014-CGFPR/DIREG/SERES/MEC,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parcialmente o pedido de aumento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vagas, sob a forma de aditamento ao ato autorizativo do curso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graduação em Gastronomia (cód.55077), tecnológico, presencial, ministrado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Faculdade de Tecnologia em Hotelaria, Gastronomia 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Turismo de São Paulo - HOTEC, localizada no Município de São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Paulo, Estado de São Paulo, mantida pela Sociedade Educacional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Pinto e Menezes LTDA - ME.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Parágrafo único. O número total anual de vagas para o curso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referido no caput passa a ser 300 (trezentas).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O deferimento do pedido de aumento de vagas implica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 vedação da aplicação de regras de desoneração de visita e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obrigatoriedade de visita in loco, pelo Instituto Nacional de Estudos 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Pesquisas Educacionais Anísio Teixeira- INEP, para análise e expedição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próximo ato regulatório do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>JORGE RODRIGO ARAÚJO MESSIAS</w:t>
      </w:r>
    </w:p>
    <w:p w:rsidR="0066310C" w:rsidRDefault="0066310C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10C" w:rsidRPr="00FE1E16" w:rsidRDefault="0066310C" w:rsidP="006631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3219EE" w:rsidRDefault="003219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219EE" w:rsidRPr="00F865A3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 xml:space="preserve">PORTARIA Nº 31, DE 29 DE JANEIRO DE </w:t>
      </w:r>
      <w:proofErr w:type="gramStart"/>
      <w:r w:rsidRPr="003219EE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nº 40,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12 de dezembro de 2007, republicada em 29 de dezembro de 2010,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Nota Técnica nº 559/2013-CGFPR/DIREG/SERES/MEC,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08/11/2013, e considerando o processo nº 23000.015047/2013-04 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Parecer nº 41/2014-CGFPR/DIREG/SERES/MEC,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desativação do curso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graduação em Geografia, licenciatura, presencial, ministrado pela Faculdade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 Educação </w:t>
      </w:r>
      <w:proofErr w:type="spellStart"/>
      <w:r w:rsidRPr="003B1A39">
        <w:rPr>
          <w:rFonts w:ascii="Times New Roman" w:hAnsi="Times New Roman" w:cs="Times New Roman"/>
        </w:rPr>
        <w:t>Acriana</w:t>
      </w:r>
      <w:proofErr w:type="spellEnd"/>
      <w:r w:rsidRPr="003B1A39">
        <w:rPr>
          <w:rFonts w:ascii="Times New Roman" w:hAnsi="Times New Roman" w:cs="Times New Roman"/>
        </w:rPr>
        <w:t xml:space="preserve"> Euclides da Cunha, localizada no município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 Rio Branco, Estado do Acre, mantida pelo Instituto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Pesquisa, Ensino e de Estudos das Culturas Amazônicas.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A instituição só poderá protocolar novo pedido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3B1A39">
        <w:rPr>
          <w:rFonts w:ascii="Times New Roman" w:hAnsi="Times New Roman" w:cs="Times New Roman"/>
        </w:rPr>
        <w:t>após</w:t>
      </w:r>
      <w:proofErr w:type="gramEnd"/>
      <w:r w:rsidRPr="003B1A39">
        <w:rPr>
          <w:rFonts w:ascii="Times New Roman" w:hAnsi="Times New Roman" w:cs="Times New Roman"/>
        </w:rPr>
        <w:t xml:space="preserve"> decorridos 2 (dois) anos da publicação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deste ato.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>JORGE RODRIGO ARAÚJO MESSIAS</w:t>
      </w:r>
    </w:p>
    <w:p w:rsidR="003219EE" w:rsidRP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 xml:space="preserve">PORTARIA Nº 32, DE 29 DE JANEIRO DE </w:t>
      </w:r>
      <w:proofErr w:type="gramStart"/>
      <w:r w:rsidRPr="003219EE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suas alterações, a Portaria Normativa nº 40, de12 de dezembro de 2007, republicada em 29 de dezembro de 2010, 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Nota Técnica nº 559 /2013-CGFPR/DIREG/SERES/MEC,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08/11/2013, e considerando o processo nº 23000.003970/2013-95 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Parecer nº 40/2014-CGFPR/DIREG/SERES/MEC,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1° Fica deferido o pedido de desativação do curso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graduação em Ciências Contábeis, bacharelado, presencial, ministrado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pela Faculdade de Talentos Humanos, localizada no município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Uberaba, Estado de Minas Gerais, mantida pelo Instituto Educacional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Guilherme </w:t>
      </w:r>
      <w:proofErr w:type="spellStart"/>
      <w:r w:rsidRPr="003B1A39">
        <w:rPr>
          <w:rFonts w:ascii="Times New Roman" w:hAnsi="Times New Roman" w:cs="Times New Roman"/>
        </w:rPr>
        <w:t>Dorca</w:t>
      </w:r>
      <w:proofErr w:type="spellEnd"/>
      <w:r w:rsidRPr="003B1A39">
        <w:rPr>
          <w:rFonts w:ascii="Times New Roman" w:hAnsi="Times New Roman" w:cs="Times New Roman"/>
        </w:rPr>
        <w:t xml:space="preserve"> S/S LTDA.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A instituição só poderá protocolar novo pedido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3B1A39">
        <w:rPr>
          <w:rFonts w:ascii="Times New Roman" w:hAnsi="Times New Roman" w:cs="Times New Roman"/>
        </w:rPr>
        <w:t>após</w:t>
      </w:r>
      <w:proofErr w:type="gramEnd"/>
      <w:r w:rsidRPr="003B1A39">
        <w:rPr>
          <w:rFonts w:ascii="Times New Roman" w:hAnsi="Times New Roman" w:cs="Times New Roman"/>
        </w:rPr>
        <w:t xml:space="preserve"> decorridos 2 (dois) anos da publicação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deste ato.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>JORGE RODRIGO ARAÚJO MESSIAS</w:t>
      </w:r>
    </w:p>
    <w:p w:rsidR="003219EE" w:rsidRPr="003219EE" w:rsidRDefault="003219EE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3219EE" w:rsidRDefault="000C62F4" w:rsidP="00321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9EE">
        <w:rPr>
          <w:rFonts w:ascii="Times New Roman" w:hAnsi="Times New Roman" w:cs="Times New Roman"/>
          <w:b/>
        </w:rPr>
        <w:t xml:space="preserve">PORTARIA Nº 33, DE 29 DE JANEIRO DE </w:t>
      </w:r>
      <w:proofErr w:type="gramStart"/>
      <w:r w:rsidRPr="003219EE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Decreto nº 7.690, de 02 de março de 2012, alterado pelo Decreto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8.066, de </w:t>
      </w:r>
      <w:proofErr w:type="gramStart"/>
      <w:r w:rsidRPr="003B1A39">
        <w:rPr>
          <w:rFonts w:ascii="Times New Roman" w:hAnsi="Times New Roman" w:cs="Times New Roman"/>
        </w:rPr>
        <w:t>7</w:t>
      </w:r>
      <w:proofErr w:type="gramEnd"/>
      <w:r w:rsidRPr="003B1A39">
        <w:rPr>
          <w:rFonts w:ascii="Times New Roman" w:hAnsi="Times New Roman" w:cs="Times New Roman"/>
        </w:rPr>
        <w:t xml:space="preserve"> de agosto de 2013, tendo em vista a Resolução CNE/CES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6, de 08 de julho de 2011, o Decreto 5.773, de 09 de maio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2006, e suas alterações, e a Portaria Normativa nº 40, de 12 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dezembro de 2007, republicada em 29 de dezembro de 2010, do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Ministério da Educação, conforme consta do processo nº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23000.006993/2012-71,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1º Fica aprovado o aditamento ao ato de credenciamento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- Portaria MEC nº 299, de 24/03/2011, publicada no Diário Oficial da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União em 25/03/2011, seção 01, página 15 - a alteração da denominação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da Faculdade de Tecnologia de Sete Lagoas </w:t>
      </w:r>
      <w:r w:rsidR="003219EE">
        <w:rPr>
          <w:rFonts w:ascii="Times New Roman" w:hAnsi="Times New Roman" w:cs="Times New Roman"/>
        </w:rPr>
        <w:t>–</w:t>
      </w:r>
      <w:r w:rsidRPr="003B1A39">
        <w:rPr>
          <w:rFonts w:ascii="Times New Roman" w:hAnsi="Times New Roman" w:cs="Times New Roman"/>
        </w:rPr>
        <w:t xml:space="preserve"> FASSETE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(12620), com sede na Rua Itália </w:t>
      </w:r>
      <w:proofErr w:type="spellStart"/>
      <w:r w:rsidRPr="003B1A39">
        <w:rPr>
          <w:rFonts w:ascii="Times New Roman" w:hAnsi="Times New Roman" w:cs="Times New Roman"/>
        </w:rPr>
        <w:t>Pontelo</w:t>
      </w:r>
      <w:proofErr w:type="spellEnd"/>
      <w:r w:rsidRPr="003B1A39">
        <w:rPr>
          <w:rFonts w:ascii="Times New Roman" w:hAnsi="Times New Roman" w:cs="Times New Roman"/>
        </w:rPr>
        <w:t>, nº 50, Chácara do Paiva,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Sete Lagoas, Estado de Minas Gerais, CEP: 35.700-170, para Faculdade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Sete Lagoas - FACSETE, mantida pela Educacional Martins</w:t>
      </w:r>
      <w:r w:rsidR="003219EE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Andrade Ltda. (2885), CNPJ: 01.282.149/0001-73.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da sua publicação.</w:t>
      </w:r>
    </w:p>
    <w:p w:rsidR="007D2331" w:rsidRDefault="000C62F4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331">
        <w:rPr>
          <w:rFonts w:ascii="Times New Roman" w:hAnsi="Times New Roman" w:cs="Times New Roman"/>
          <w:b/>
        </w:rPr>
        <w:t>JORGE RODRIGO ARAÚJO MESSIAS</w:t>
      </w:r>
    </w:p>
    <w:p w:rsidR="0066310C" w:rsidRDefault="0066310C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10C" w:rsidRPr="00FE1E16" w:rsidRDefault="0066310C" w:rsidP="006631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7D2331" w:rsidRDefault="007D23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2331" w:rsidRDefault="007D2331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D2331" w:rsidRPr="00F865A3" w:rsidRDefault="007D2331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7D2331" w:rsidRDefault="000C62F4" w:rsidP="007D2331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7D2331">
        <w:rPr>
          <w:rFonts w:ascii="Times New Roman" w:hAnsi="Times New Roman" w:cs="Times New Roman"/>
          <w:b/>
        </w:rPr>
        <w:t xml:space="preserve">PORTARIA Nº 34, DE 29 DE JANEIRO DE </w:t>
      </w:r>
      <w:proofErr w:type="gramStart"/>
      <w:r w:rsidRPr="007D2331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nº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a Resolução CNE/CES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6, de 8 de julho de 2011, o Decreto 5.773, de 9 de maio de 2006,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 suas alterações, e a Portaria Normativa nº 40, de 12 de dezembro de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2007, republicada em 29 de dezembro de 2010, do Ministério da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Educação, conforme consta do processo nº 23000.017825/2012-19,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1º Fica aprovado o aditamento ao ato de recredenciamento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- Portaria MEC nº 126, de 27/02/2013, publicada no Diário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Oficial da União de 28/02/2013, seção 01, página 31 - a alteração da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denominação da Faculdade Teológica Batista do Paraná </w:t>
      </w:r>
      <w:r w:rsidR="007D2331">
        <w:rPr>
          <w:rFonts w:ascii="Times New Roman" w:hAnsi="Times New Roman" w:cs="Times New Roman"/>
        </w:rPr>
        <w:t>–</w:t>
      </w:r>
      <w:r w:rsidRPr="003B1A39">
        <w:rPr>
          <w:rFonts w:ascii="Times New Roman" w:hAnsi="Times New Roman" w:cs="Times New Roman"/>
        </w:rPr>
        <w:t xml:space="preserve"> FTBP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(2141), com sede na Avenida Silva Jardim nº 1.859, Água Verde,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Curitiba, Estado do Paraná, CEP: 80.250-200, para Faculdades Batista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Paraná - FABAPAR, mantida pelo Conselho Educacional da Convenção</w:t>
      </w:r>
      <w:r w:rsidR="007D2331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Batista Paranaense, CNPJ: 76.706.936/0001-02 (1411).</w:t>
      </w:r>
    </w:p>
    <w:p w:rsidR="007D2331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da sua publicação.</w:t>
      </w:r>
      <w:r w:rsidR="007D2331">
        <w:rPr>
          <w:rFonts w:ascii="Times New Roman" w:hAnsi="Times New Roman" w:cs="Times New Roman"/>
        </w:rPr>
        <w:t xml:space="preserve"> </w:t>
      </w:r>
    </w:p>
    <w:p w:rsidR="000C62F4" w:rsidRPr="007D2331" w:rsidRDefault="000C62F4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331">
        <w:rPr>
          <w:rFonts w:ascii="Times New Roman" w:hAnsi="Times New Roman" w:cs="Times New Roman"/>
          <w:b/>
        </w:rPr>
        <w:t>JORGE RODRIGO ARAÚJO MESSIAS</w:t>
      </w:r>
    </w:p>
    <w:p w:rsidR="007D2331" w:rsidRPr="007D2331" w:rsidRDefault="007D2331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7D2331" w:rsidRDefault="000C62F4" w:rsidP="007D2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331">
        <w:rPr>
          <w:rFonts w:ascii="Times New Roman" w:hAnsi="Times New Roman" w:cs="Times New Roman"/>
          <w:b/>
        </w:rPr>
        <w:t xml:space="preserve">PORTARIA Nº 35, DE 29 DE JANEIRO DE </w:t>
      </w:r>
      <w:proofErr w:type="gramStart"/>
      <w:r w:rsidRPr="007D2331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nº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a Resolução CNE/CES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nº 6, de 8 de julho de 2011, o Decreto 5.773, de 9 de maio de 2006,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 suas alterações, e a Portaria Normativa nº 40, de 12 de dezembro de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2007, republicada em 29 de dezembro de 2010, do Ministério da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Educação, conforme consta do processo nº 23000.003838/2013-83,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1º Fica aprovado o aditamento ao ato de credenciamento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- Portaria MEC nº 3.324, de 13 de novembro de 2003, publicada no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Diário Oficial da União de 14/11/2003, seção 01, página 32 </w:t>
      </w:r>
      <w:r w:rsidR="008F2635">
        <w:rPr>
          <w:rFonts w:ascii="Times New Roman" w:hAnsi="Times New Roman" w:cs="Times New Roman"/>
        </w:rPr>
        <w:t>–</w:t>
      </w:r>
      <w:r w:rsidRPr="003B1A39">
        <w:rPr>
          <w:rFonts w:ascii="Times New Roman" w:hAnsi="Times New Roman" w:cs="Times New Roman"/>
        </w:rPr>
        <w:t xml:space="preserve"> a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alteração da denominação da Faculdade de Tecnologia Darcy Ribeiro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- FTDR (3680), com sede na Avenida Heráclito Graça nº 400, Centro,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Fortaleza, Estado do Ceará, CEP: </w:t>
      </w:r>
      <w:proofErr w:type="gramStart"/>
      <w:r w:rsidRPr="003B1A39">
        <w:rPr>
          <w:rFonts w:ascii="Times New Roman" w:hAnsi="Times New Roman" w:cs="Times New Roman"/>
        </w:rPr>
        <w:t>60.140-060, para Faculdade Darcy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Ribeiro - FADR, mantida pelo Centro de Educação Tecnológica Darcy</w:t>
      </w:r>
      <w:r w:rsidR="008F2635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Ribeiro</w:t>
      </w:r>
      <w:proofErr w:type="gramEnd"/>
      <w:r w:rsidRPr="003B1A39">
        <w:rPr>
          <w:rFonts w:ascii="Times New Roman" w:hAnsi="Times New Roman" w:cs="Times New Roman"/>
        </w:rPr>
        <w:t xml:space="preserve"> Ltda. - EPP (2329), CNPJ: 05.546.402/0001-00.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Esta Portaria entra em vigor na data da sua publicação.</w:t>
      </w:r>
    </w:p>
    <w:p w:rsidR="000C62F4" w:rsidRDefault="000C62F4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0C">
        <w:rPr>
          <w:rFonts w:ascii="Times New Roman" w:hAnsi="Times New Roman" w:cs="Times New Roman"/>
          <w:b/>
        </w:rPr>
        <w:t>JORGE RODRIGO ARAÚJO MESSIAS</w:t>
      </w:r>
    </w:p>
    <w:p w:rsidR="00B3200C" w:rsidRPr="00B3200C" w:rsidRDefault="00B3200C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B3200C" w:rsidRDefault="000C62F4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0C">
        <w:rPr>
          <w:rFonts w:ascii="Times New Roman" w:hAnsi="Times New Roman" w:cs="Times New Roman"/>
          <w:b/>
        </w:rPr>
        <w:t xml:space="preserve">PORTARIA Nº 36, DE 29 DE JANEIRO DE </w:t>
      </w:r>
      <w:proofErr w:type="gramStart"/>
      <w:r w:rsidRPr="00B3200C">
        <w:rPr>
          <w:rFonts w:ascii="Times New Roman" w:hAnsi="Times New Roman" w:cs="Times New Roman"/>
          <w:b/>
        </w:rPr>
        <w:t>2014</w:t>
      </w:r>
      <w:proofErr w:type="gramEnd"/>
    </w:p>
    <w:p w:rsidR="00B3200C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SECRETÁRIO DE REGULAÇÃO E SUPERVISÃO DA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EDUCAÇÃO SUPERIOR, no uso da atribuição que lhe confere 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Decreto nº 7.690, de </w:t>
      </w:r>
      <w:proofErr w:type="gramStart"/>
      <w:r w:rsidRPr="003B1A39">
        <w:rPr>
          <w:rFonts w:ascii="Times New Roman" w:hAnsi="Times New Roman" w:cs="Times New Roman"/>
        </w:rPr>
        <w:t>2</w:t>
      </w:r>
      <w:proofErr w:type="gramEnd"/>
      <w:r w:rsidRPr="003B1A39">
        <w:rPr>
          <w:rFonts w:ascii="Times New Roman" w:hAnsi="Times New Roman" w:cs="Times New Roman"/>
        </w:rPr>
        <w:t xml:space="preserve"> de março de 2012, alterado pelo Decreto n°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8.066, de 7 de agosto de 2013, tendo em vista o Decreto nº 5.773, 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9 de maio de 2006, e as alterações dadas pelo Decreto 6.303 de 2007,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e considerando o constante do processo nº 23000.002024/2013-21 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do Parecer nº 38/2014-CGFPR/DIREG/SERES/MEC, resolve: 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1º Fica declarada a caducidade da Portaria nº 1.687, 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24 de novembro de 2009, publicada no Diário Oficial da União de 25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de novembro de 2009, que autorizou a Faculdade </w:t>
      </w:r>
      <w:proofErr w:type="spellStart"/>
      <w:r w:rsidRPr="003B1A39">
        <w:rPr>
          <w:rFonts w:ascii="Times New Roman" w:hAnsi="Times New Roman" w:cs="Times New Roman"/>
        </w:rPr>
        <w:t>Cenecista</w:t>
      </w:r>
      <w:proofErr w:type="spellEnd"/>
      <w:r w:rsidRPr="003B1A39">
        <w:rPr>
          <w:rFonts w:ascii="Times New Roman" w:hAnsi="Times New Roman" w:cs="Times New Roman"/>
        </w:rPr>
        <w:t xml:space="preserve"> de Campo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Largo, mantida pela Campanha Nacional de Escolas da Comunidade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- CNEC, localizada no Município de Campo Largo, Estado do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Paraná, a ofertar o curso de Ciências Contábeis, bacharelado, 80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(oitenta) vagas.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A instituição só poderá protocolar novo pedido 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3B1A39">
        <w:rPr>
          <w:rFonts w:ascii="Times New Roman" w:hAnsi="Times New Roman" w:cs="Times New Roman"/>
        </w:rPr>
        <w:t>após</w:t>
      </w:r>
      <w:proofErr w:type="gramEnd"/>
      <w:r w:rsidRPr="003B1A39">
        <w:rPr>
          <w:rFonts w:ascii="Times New Roman" w:hAnsi="Times New Roman" w:cs="Times New Roman"/>
        </w:rPr>
        <w:t xml:space="preserve"> decorridos 2 (dois) anos da publicação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deste ato.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Esta Portaria entra em vigor na data de sua publicação.</w:t>
      </w:r>
    </w:p>
    <w:p w:rsidR="00B3200C" w:rsidRDefault="000C62F4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0C">
        <w:rPr>
          <w:rFonts w:ascii="Times New Roman" w:hAnsi="Times New Roman" w:cs="Times New Roman"/>
          <w:b/>
        </w:rPr>
        <w:t>JORGE RODRIGO ARAÚJO MESSIAS</w:t>
      </w:r>
    </w:p>
    <w:p w:rsidR="0066310C" w:rsidRDefault="0066310C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10C" w:rsidRPr="00FE1E16" w:rsidRDefault="0066310C" w:rsidP="006631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3200C" w:rsidRDefault="00B32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3200C" w:rsidRDefault="00B3200C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3200C" w:rsidRPr="00F865A3" w:rsidRDefault="00B3200C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5A3">
        <w:rPr>
          <w:rFonts w:ascii="Times New Roman" w:hAnsi="Times New Roman" w:cs="Times New Roman"/>
          <w:b/>
        </w:rPr>
        <w:t>SECRETARIA DE REGULAÇÃO E SUPERVISÃO DA EDUCAÇÃO SUPERIOR</w:t>
      </w:r>
    </w:p>
    <w:p w:rsidR="000C62F4" w:rsidRPr="00B3200C" w:rsidRDefault="000C62F4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0C">
        <w:rPr>
          <w:rFonts w:ascii="Times New Roman" w:hAnsi="Times New Roman" w:cs="Times New Roman"/>
          <w:b/>
        </w:rPr>
        <w:t xml:space="preserve">PORTARIA Nº 37, DE 29 DE JANEIRO DE </w:t>
      </w:r>
      <w:proofErr w:type="gramStart"/>
      <w:r w:rsidRPr="00B3200C">
        <w:rPr>
          <w:rFonts w:ascii="Times New Roman" w:hAnsi="Times New Roman" w:cs="Times New Roman"/>
          <w:b/>
        </w:rPr>
        <w:t>2014</w:t>
      </w:r>
      <w:proofErr w:type="gramEnd"/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O DIRETOR DE POLÍTICA REGULATÓRIA, no uso das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atribuições que lhe conferem a Portaria nº 385, de 12 de agosto 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2013, e considerando o contido no Ofício nº 4499/2013/DRF/RJO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I/</w:t>
      </w:r>
      <w:proofErr w:type="spellStart"/>
      <w:r w:rsidRPr="003B1A39">
        <w:rPr>
          <w:rFonts w:ascii="Times New Roman" w:hAnsi="Times New Roman" w:cs="Times New Roman"/>
        </w:rPr>
        <w:t>Gabin</w:t>
      </w:r>
      <w:proofErr w:type="spellEnd"/>
      <w:r w:rsidRPr="003B1A39">
        <w:rPr>
          <w:rFonts w:ascii="Times New Roman" w:hAnsi="Times New Roman" w:cs="Times New Roman"/>
        </w:rPr>
        <w:t>, da Secretaria da Receita Federal do Brasil - Rio de Janeiro I,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referente ao CENTRO EDUCACIONAL DA LAGOA, CNPJ nº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30.500.334/0001-95 e os fundamentos expostos na Nota Técnica nº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731/2013-CGCEBAS/DPR/SERES/MEC, resolve: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1º Fica instaurado processo administrativo de Supervisão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do Certificado de Entidade Beneficente de Assistência Social -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Supervisão CEBAS, expedido para o Centro Educacional da Lagoa,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CNPJ nº 30.500.334/0001-95, relativo ao período de 21/03/2007 a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20/03/2010, que fora concedido nos autos do processo nº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71010.004191/2006-10, para promover a apuração de indícios de irregularidade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no cumprimento da Lei de Certificação.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2º Fica determinada que os procedimentos de supervisão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tenham caráter sigiloso, até a conclusão final da supervisão e do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procedimento de apuração da Delegacia da Receita Federal do Brasil.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3º Cientifique-se a Secretaria da Receita Federal do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Brasil dos atos administrativos em curso.</w:t>
      </w:r>
    </w:p>
    <w:p w:rsidR="000C62F4" w:rsidRPr="003B1A39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Art. 4º Esta Portaria entra em vigor na data de sua publicação.</w:t>
      </w:r>
    </w:p>
    <w:p w:rsidR="000C62F4" w:rsidRDefault="000C62F4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0C">
        <w:rPr>
          <w:rFonts w:ascii="Times New Roman" w:hAnsi="Times New Roman" w:cs="Times New Roman"/>
          <w:b/>
        </w:rPr>
        <w:t>ADALBERTO DO REGO MACIEL NETO</w:t>
      </w:r>
    </w:p>
    <w:p w:rsidR="00B3200C" w:rsidRPr="00B3200C" w:rsidRDefault="00B3200C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2F4" w:rsidRPr="00B3200C" w:rsidRDefault="000C62F4" w:rsidP="00B32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0C">
        <w:rPr>
          <w:rFonts w:ascii="Times New Roman" w:hAnsi="Times New Roman" w:cs="Times New Roman"/>
          <w:b/>
        </w:rPr>
        <w:t>RETIFICAÇÃO</w:t>
      </w:r>
    </w:p>
    <w:p w:rsidR="000C62F4" w:rsidRDefault="000C62F4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B1A39">
        <w:rPr>
          <w:rFonts w:ascii="Times New Roman" w:hAnsi="Times New Roman" w:cs="Times New Roman"/>
        </w:rPr>
        <w:t>No Diário Oficial da União nº 251, de 27 de dezembro 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2013, Seção 1, página 182, no Art. 1º da Portaria nº 734, de 26 de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dezembro de 2013, da Secretaria de Regulação e Supervisão da Educação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Superior, onde se lê: "pelo período de 01/01/2007 a</w:t>
      </w:r>
      <w:r w:rsidR="00B3200C">
        <w:rPr>
          <w:rFonts w:ascii="Times New Roman" w:hAnsi="Times New Roman" w:cs="Times New Roman"/>
        </w:rPr>
        <w:t xml:space="preserve"> </w:t>
      </w:r>
      <w:r w:rsidRPr="003B1A39">
        <w:rPr>
          <w:rFonts w:ascii="Times New Roman" w:hAnsi="Times New Roman" w:cs="Times New Roman"/>
        </w:rPr>
        <w:t>31/12/2012", leia-se: "pelo período de 01/01/2010 a 31/12/2012".</w:t>
      </w:r>
    </w:p>
    <w:p w:rsidR="00B3200C" w:rsidRDefault="00B3200C" w:rsidP="003B1A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6310C" w:rsidRPr="00FE1E16" w:rsidRDefault="0066310C" w:rsidP="006631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66310C" w:rsidRPr="00FE1E16" w:rsidSect="003B1A39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00" w:rsidRDefault="00214F00" w:rsidP="00214F00">
      <w:pPr>
        <w:spacing w:after="0" w:line="240" w:lineRule="auto"/>
      </w:pPr>
      <w:r>
        <w:separator/>
      </w:r>
    </w:p>
  </w:endnote>
  <w:endnote w:type="continuationSeparator" w:id="0">
    <w:p w:rsidR="00214F00" w:rsidRDefault="00214F00" w:rsidP="0021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72260"/>
      <w:docPartObj>
        <w:docPartGallery w:val="Page Numbers (Bottom of Page)"/>
        <w:docPartUnique/>
      </w:docPartObj>
    </w:sdtPr>
    <w:sdtEndPr/>
    <w:sdtContent>
      <w:p w:rsidR="00214F00" w:rsidRDefault="00214F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4C">
          <w:rPr>
            <w:noProof/>
          </w:rPr>
          <w:t>8</w:t>
        </w:r>
        <w:r>
          <w:fldChar w:fldCharType="end"/>
        </w:r>
      </w:p>
    </w:sdtContent>
  </w:sdt>
  <w:p w:rsidR="00214F00" w:rsidRDefault="00214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00" w:rsidRDefault="00214F00" w:rsidP="00214F00">
      <w:pPr>
        <w:spacing w:after="0" w:line="240" w:lineRule="auto"/>
      </w:pPr>
      <w:r>
        <w:separator/>
      </w:r>
    </w:p>
  </w:footnote>
  <w:footnote w:type="continuationSeparator" w:id="0">
    <w:p w:rsidR="00214F00" w:rsidRDefault="00214F00" w:rsidP="0021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4"/>
    <w:rsid w:val="000C62F4"/>
    <w:rsid w:val="00214F00"/>
    <w:rsid w:val="002341DB"/>
    <w:rsid w:val="002E69FE"/>
    <w:rsid w:val="003219EE"/>
    <w:rsid w:val="003B1A39"/>
    <w:rsid w:val="004E1E34"/>
    <w:rsid w:val="00563A4C"/>
    <w:rsid w:val="0066310C"/>
    <w:rsid w:val="007D2331"/>
    <w:rsid w:val="008F2635"/>
    <w:rsid w:val="00A57D0F"/>
    <w:rsid w:val="00AA6970"/>
    <w:rsid w:val="00B3200C"/>
    <w:rsid w:val="00B77327"/>
    <w:rsid w:val="00C54E4A"/>
    <w:rsid w:val="00E77BB0"/>
    <w:rsid w:val="00E95D4C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F00"/>
  </w:style>
  <w:style w:type="paragraph" w:styleId="Rodap">
    <w:name w:val="footer"/>
    <w:basedOn w:val="Normal"/>
    <w:link w:val="RodapChar"/>
    <w:uiPriority w:val="99"/>
    <w:unhideWhenUsed/>
    <w:rsid w:val="0021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F00"/>
  </w:style>
  <w:style w:type="paragraph" w:styleId="Rodap">
    <w:name w:val="footer"/>
    <w:basedOn w:val="Normal"/>
    <w:link w:val="RodapChar"/>
    <w:uiPriority w:val="99"/>
    <w:unhideWhenUsed/>
    <w:rsid w:val="0021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5478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2014-01-30T10:09:00Z</dcterms:created>
  <dcterms:modified xsi:type="dcterms:W3CDTF">2014-01-30T10:13:00Z</dcterms:modified>
</cp:coreProperties>
</file>