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C3" w:rsidRDefault="00F83DF0" w:rsidP="00F83DF0">
      <w:pPr>
        <w:spacing w:after="0"/>
        <w:jc w:val="center"/>
        <w:rPr>
          <w:rFonts w:ascii="Times New Roman" w:hAnsi="Times New Roman" w:cs="Times New Roman"/>
          <w:b/>
        </w:rPr>
      </w:pPr>
      <w:r w:rsidRPr="00F83DF0">
        <w:rPr>
          <w:rFonts w:ascii="Times New Roman" w:hAnsi="Times New Roman" w:cs="Times New Roman"/>
          <w:b/>
        </w:rPr>
        <w:t>MINISTÉRIO DA EDUCAÇÃO</w:t>
      </w:r>
    </w:p>
    <w:p w:rsidR="00327BC3" w:rsidRDefault="00327BC3" w:rsidP="00F83DF0">
      <w:pPr>
        <w:spacing w:after="0"/>
        <w:jc w:val="center"/>
        <w:rPr>
          <w:rFonts w:ascii="Times New Roman" w:hAnsi="Times New Roman" w:cs="Times New Roman"/>
          <w:b/>
        </w:rPr>
      </w:pPr>
      <w:r w:rsidRPr="00F83DF0">
        <w:rPr>
          <w:rFonts w:ascii="Times New Roman" w:hAnsi="Times New Roman" w:cs="Times New Roman"/>
          <w:b/>
        </w:rPr>
        <w:t>SECRETARIA DE EDUCAÇÃO SUPERIOR</w:t>
      </w:r>
    </w:p>
    <w:p w:rsidR="00F83DF0" w:rsidRPr="00F83DF0" w:rsidRDefault="00F83DF0" w:rsidP="00F83DF0">
      <w:pPr>
        <w:spacing w:after="0"/>
        <w:jc w:val="center"/>
        <w:rPr>
          <w:rFonts w:ascii="Times New Roman" w:hAnsi="Times New Roman" w:cs="Times New Roman"/>
          <w:b/>
        </w:rPr>
      </w:pPr>
    </w:p>
    <w:p w:rsidR="00327BC3" w:rsidRDefault="00327BC3" w:rsidP="00F83DF0">
      <w:pPr>
        <w:spacing w:after="0"/>
        <w:jc w:val="center"/>
        <w:rPr>
          <w:rFonts w:ascii="Times New Roman" w:hAnsi="Times New Roman" w:cs="Times New Roman"/>
          <w:b/>
        </w:rPr>
      </w:pPr>
      <w:r w:rsidRPr="00F83DF0">
        <w:rPr>
          <w:rFonts w:ascii="Times New Roman" w:hAnsi="Times New Roman" w:cs="Times New Roman"/>
          <w:b/>
        </w:rPr>
        <w:t>EDITAL N</w:t>
      </w:r>
      <w:r w:rsidR="00F83DF0">
        <w:rPr>
          <w:rFonts w:ascii="Times New Roman" w:hAnsi="Times New Roman" w:cs="Times New Roman"/>
          <w:b/>
        </w:rPr>
        <w:t>º</w:t>
      </w:r>
      <w:r w:rsidRPr="00F83DF0">
        <w:rPr>
          <w:rFonts w:ascii="Times New Roman" w:hAnsi="Times New Roman" w:cs="Times New Roman"/>
          <w:b/>
        </w:rPr>
        <w:t xml:space="preserve"> </w:t>
      </w:r>
      <w:proofErr w:type="gramStart"/>
      <w:r w:rsidRPr="00F83DF0">
        <w:rPr>
          <w:rFonts w:ascii="Times New Roman" w:hAnsi="Times New Roman" w:cs="Times New Roman"/>
          <w:b/>
        </w:rPr>
        <w:t>4 ,</w:t>
      </w:r>
      <w:proofErr w:type="gramEnd"/>
      <w:r w:rsidRPr="00F83DF0">
        <w:rPr>
          <w:rFonts w:ascii="Times New Roman" w:hAnsi="Times New Roman" w:cs="Times New Roman"/>
          <w:b/>
        </w:rPr>
        <w:t xml:space="preserve"> DE 23 DE JANEIRO DE 2014</w:t>
      </w:r>
    </w:p>
    <w:p w:rsidR="00327BC3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PROCESSO SELETIVO PARA OCUPAÇÃO DE VAGAS DOS CURSOS PRESENCIAISDE LÍNGUA INGLESA OFERTADOS PELOS NÚCLEOS DE LÍNGUAS NO ÂMBITODO PROGRAMA INGLÊS SEM FRONTEIRAS - SELEÇÃO FEVEREIRO 2014</w:t>
      </w:r>
    </w:p>
    <w:p w:rsidR="00F83DF0" w:rsidRPr="00F83DF0" w:rsidRDefault="00F83DF0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O Secretário de Educação Superior, no uso da atribuição que lhe confere o art. 1º § 2º da</w:t>
      </w:r>
      <w:r w:rsidR="00F83DF0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Portaria Normativa no- 025, de 25 de novembro de 2013 publicada no DOU de 26 de novembro de 2013,</w:t>
      </w:r>
      <w:r w:rsidR="00F83DF0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seção 1, página 25, torna público o cronograma e demais procedimentos relativos ao processo seletivo</w:t>
      </w:r>
      <w:r w:rsidR="00F83DF0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visando à ocupação de vagas dos cursos presenciais de língua inglesa ofertados pelos Núcleos de</w:t>
      </w:r>
      <w:r w:rsidR="00F83DF0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Línguas (</w:t>
      </w:r>
      <w:proofErr w:type="spellStart"/>
      <w:proofErr w:type="gramStart"/>
      <w:r w:rsidRPr="00F83DF0">
        <w:rPr>
          <w:rFonts w:ascii="Times New Roman" w:hAnsi="Times New Roman" w:cs="Times New Roman"/>
        </w:rPr>
        <w:t>NucLi</w:t>
      </w:r>
      <w:proofErr w:type="spellEnd"/>
      <w:proofErr w:type="gramEnd"/>
      <w:r w:rsidRPr="00F83DF0">
        <w:rPr>
          <w:rFonts w:ascii="Times New Roman" w:hAnsi="Times New Roman" w:cs="Times New Roman"/>
        </w:rPr>
        <w:t>) pelas universidades federais credenciadas no âmbito do Programa Inglês sem Fronteiras</w:t>
      </w:r>
      <w:r w:rsidR="00F83DF0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(</w:t>
      </w:r>
      <w:proofErr w:type="spellStart"/>
      <w:r w:rsidRPr="00F83DF0">
        <w:rPr>
          <w:rFonts w:ascii="Times New Roman" w:hAnsi="Times New Roman" w:cs="Times New Roman"/>
        </w:rPr>
        <w:t>IsF</w:t>
      </w:r>
      <w:proofErr w:type="spellEnd"/>
      <w:r w:rsidRPr="00F83DF0">
        <w:rPr>
          <w:rFonts w:ascii="Times New Roman" w:hAnsi="Times New Roman" w:cs="Times New Roman"/>
        </w:rPr>
        <w:t>), edição FEVEREIRO 2013.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1. DOS CURSOS E DAS VAGAS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 xml:space="preserve">1.1. Os </w:t>
      </w:r>
      <w:proofErr w:type="spellStart"/>
      <w:proofErr w:type="gramStart"/>
      <w:r w:rsidRPr="00F83DF0">
        <w:rPr>
          <w:rFonts w:ascii="Times New Roman" w:hAnsi="Times New Roman" w:cs="Times New Roman"/>
        </w:rPr>
        <w:t>NucLi</w:t>
      </w:r>
      <w:proofErr w:type="spellEnd"/>
      <w:proofErr w:type="gramEnd"/>
      <w:r w:rsidRPr="00F83DF0">
        <w:rPr>
          <w:rFonts w:ascii="Times New Roman" w:hAnsi="Times New Roman" w:cs="Times New Roman"/>
        </w:rPr>
        <w:t xml:space="preserve"> ofertarão cursos presenciais complementares aos níveis 2, 3, 4 ou 5 do Curso </w:t>
      </w:r>
      <w:proofErr w:type="spellStart"/>
      <w:r w:rsidRPr="00F83DF0">
        <w:rPr>
          <w:rFonts w:ascii="Times New Roman" w:hAnsi="Times New Roman" w:cs="Times New Roman"/>
        </w:rPr>
        <w:t>My</w:t>
      </w:r>
      <w:proofErr w:type="spellEnd"/>
      <w:r w:rsidR="00F83DF0">
        <w:rPr>
          <w:rFonts w:ascii="Times New Roman" w:hAnsi="Times New Roman" w:cs="Times New Roman"/>
        </w:rPr>
        <w:t xml:space="preserve"> </w:t>
      </w:r>
      <w:proofErr w:type="spellStart"/>
      <w:r w:rsidRPr="00F83DF0">
        <w:rPr>
          <w:rFonts w:ascii="Times New Roman" w:hAnsi="Times New Roman" w:cs="Times New Roman"/>
        </w:rPr>
        <w:t>English</w:t>
      </w:r>
      <w:proofErr w:type="spellEnd"/>
      <w:r w:rsidRPr="00F83DF0">
        <w:rPr>
          <w:rFonts w:ascii="Times New Roman" w:hAnsi="Times New Roman" w:cs="Times New Roman"/>
        </w:rPr>
        <w:t xml:space="preserve"> Online disponibilizado pela CAPES, conforme o perfil específico de cada universidade, organizados</w:t>
      </w:r>
      <w:r w:rsidR="00F83DF0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com foco no desenvolvimento de habilidades linguísticas e preparatórios para os exames</w:t>
      </w:r>
      <w:r w:rsidR="00F83DF0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TOEFL </w:t>
      </w:r>
      <w:proofErr w:type="spellStart"/>
      <w:r w:rsidRPr="00F83DF0">
        <w:rPr>
          <w:rFonts w:ascii="Times New Roman" w:hAnsi="Times New Roman" w:cs="Times New Roman"/>
        </w:rPr>
        <w:t>iBT</w:t>
      </w:r>
      <w:proofErr w:type="spellEnd"/>
      <w:r w:rsidRPr="00F83DF0">
        <w:rPr>
          <w:rFonts w:ascii="Times New Roman" w:hAnsi="Times New Roman" w:cs="Times New Roman"/>
        </w:rPr>
        <w:t xml:space="preserve"> e/ou IELTS.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 xml:space="preserve">1.2. A carga horária presencial é de </w:t>
      </w:r>
      <w:proofErr w:type="gramStart"/>
      <w:r w:rsidRPr="00F83DF0">
        <w:rPr>
          <w:rFonts w:ascii="Times New Roman" w:hAnsi="Times New Roman" w:cs="Times New Roman"/>
        </w:rPr>
        <w:t>4</w:t>
      </w:r>
      <w:proofErr w:type="gramEnd"/>
      <w:r w:rsidRPr="00F83DF0">
        <w:rPr>
          <w:rFonts w:ascii="Times New Roman" w:hAnsi="Times New Roman" w:cs="Times New Roman"/>
        </w:rPr>
        <w:t xml:space="preserve"> (quatro) aulas de 60 (sessenta) minutos, distribuídos em</w:t>
      </w:r>
      <w:r w:rsidR="00F83DF0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pelo menos 2 (dois) encontros semanais, em locais e horários definidos pela universidade credenciada.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 xml:space="preserve">Excepcionalmente, cursos poderão ser ofertados em </w:t>
      </w:r>
      <w:proofErr w:type="gramStart"/>
      <w:r w:rsidRPr="00F83DF0">
        <w:rPr>
          <w:rFonts w:ascii="Times New Roman" w:hAnsi="Times New Roman" w:cs="Times New Roman"/>
        </w:rPr>
        <w:t>2</w:t>
      </w:r>
      <w:proofErr w:type="gramEnd"/>
      <w:r w:rsidRPr="00F83DF0">
        <w:rPr>
          <w:rFonts w:ascii="Times New Roman" w:hAnsi="Times New Roman" w:cs="Times New Roman"/>
        </w:rPr>
        <w:t xml:space="preserve"> blocos de 2 horas cada, em um mesmo dia, em</w:t>
      </w:r>
      <w:r w:rsidR="00F83DF0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especial aqueles preparatórios para os exames TOEFL </w:t>
      </w:r>
      <w:proofErr w:type="spellStart"/>
      <w:r w:rsidRPr="00F83DF0">
        <w:rPr>
          <w:rFonts w:ascii="Times New Roman" w:hAnsi="Times New Roman" w:cs="Times New Roman"/>
        </w:rPr>
        <w:t>iBT</w:t>
      </w:r>
      <w:proofErr w:type="spellEnd"/>
      <w:r w:rsidRPr="00F83DF0">
        <w:rPr>
          <w:rFonts w:ascii="Times New Roman" w:hAnsi="Times New Roman" w:cs="Times New Roman"/>
        </w:rPr>
        <w:t xml:space="preserve"> e/ou IELTS.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1.3. Os cursos terão a duração mínima de 30 (trinta) e máxima de 120 (cento e vinte) dias, a</w:t>
      </w:r>
      <w:r w:rsidR="00F83DF0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depender da proposta pedagógica de cada </w:t>
      </w:r>
      <w:proofErr w:type="spellStart"/>
      <w:proofErr w:type="gramStart"/>
      <w:r w:rsidRPr="00F83DF0">
        <w:rPr>
          <w:rFonts w:ascii="Times New Roman" w:hAnsi="Times New Roman" w:cs="Times New Roman"/>
        </w:rPr>
        <w:t>NucLi</w:t>
      </w:r>
      <w:proofErr w:type="spellEnd"/>
      <w:proofErr w:type="gramEnd"/>
      <w:r w:rsidRPr="00F83DF0">
        <w:rPr>
          <w:rFonts w:ascii="Times New Roman" w:hAnsi="Times New Roman" w:cs="Times New Roman"/>
        </w:rPr>
        <w:t xml:space="preserve"> e das especificidades locais e terão início em</w:t>
      </w:r>
      <w:r w:rsidR="00F83DF0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20/02/2014.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1.4. O corpo docente será composto por professores ou técnicos da instituição com formação em</w:t>
      </w:r>
      <w:r w:rsidR="00F83DF0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Letras Inglês ou por alunos de graduação ou de pós-graduação da área de Letras, com nível de</w:t>
      </w:r>
      <w:r w:rsidR="00F83DF0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proficiência superior.</w:t>
      </w:r>
    </w:p>
    <w:p w:rsidR="00327BC3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1.5. Serão oferecidas 9.225 vagas, tomando como referência o mínimo de 10 e o máximo de 20</w:t>
      </w:r>
      <w:r w:rsidR="00F83DF0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alunos por turma. Somente serão confirmadas turmas com o número mínimo de 10 alunos inscritos. </w:t>
      </w:r>
      <w:proofErr w:type="spellStart"/>
      <w:r w:rsidRPr="00F83DF0">
        <w:rPr>
          <w:rFonts w:ascii="Times New Roman" w:hAnsi="Times New Roman" w:cs="Times New Roman"/>
        </w:rPr>
        <w:t>Asvagas</w:t>
      </w:r>
      <w:proofErr w:type="spellEnd"/>
      <w:r w:rsidRPr="00F83DF0">
        <w:rPr>
          <w:rFonts w:ascii="Times New Roman" w:hAnsi="Times New Roman" w:cs="Times New Roman"/>
        </w:rPr>
        <w:t xml:space="preserve"> serão distribuídas conforme o quadro que se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2439"/>
      </w:tblGrid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Sigla da IES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Nome da IES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º</w:t>
            </w:r>
            <w:r w:rsidRPr="00F83DF0">
              <w:rPr>
                <w:rFonts w:ascii="Times New Roman" w:hAnsi="Times New Roman" w:cs="Times New Roman"/>
              </w:rPr>
              <w:t xml:space="preserve"> de alunos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FURG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do Rio Grande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120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9D617D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UFA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do Acre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45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9D617D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UFA L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Alagoas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150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UFC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do Ceará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225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UFES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do Espírito Santo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345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UFF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Fluminense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315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UFG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Goiás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 w:firstLine="33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60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UFGD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da Grande Dourados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 w:firstLine="33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120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UFJF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Juiz de Fora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 w:firstLine="33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180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UFLA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Lavras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 w:firstLine="33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270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UFMA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do Maranhão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 w:firstLine="33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450</w:t>
            </w:r>
          </w:p>
        </w:tc>
      </w:tr>
    </w:tbl>
    <w:p w:rsidR="00F83DF0" w:rsidRDefault="00F83DF0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2439"/>
      </w:tblGrid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lastRenderedPageBreak/>
              <w:t>UFMG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Minas Gerais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105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UFMS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Mato Grosso do Sul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90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UFMT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Mato Grosso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300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UFOP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Ouro Preto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90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 F PA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do Pará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315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UFPB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da Paraíba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270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UFPE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Pernambuco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285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UFPEL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Pelotas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450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UFPI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do Piauí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480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UFPR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do Paraná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345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UFRB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do Recôncavo da Bahia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60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UFRGS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do Rio Grande do Sul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540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UFRJ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do Rio de Janeiro</w:t>
            </w:r>
          </w:p>
        </w:tc>
        <w:tc>
          <w:tcPr>
            <w:tcW w:w="2439" w:type="dxa"/>
          </w:tcPr>
          <w:p w:rsid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180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UFRN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do Rio Grande do Norte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195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UFRPE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Rural de Pernambuco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75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UFRR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Roraima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135</w:t>
            </w:r>
          </w:p>
        </w:tc>
      </w:tr>
      <w:tr w:rsidR="00F83DF0" w:rsidTr="00F83DF0">
        <w:tc>
          <w:tcPr>
            <w:tcW w:w="1668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UFRRJ</w:t>
            </w:r>
          </w:p>
        </w:tc>
        <w:tc>
          <w:tcPr>
            <w:tcW w:w="5103" w:type="dxa"/>
          </w:tcPr>
          <w:p w:rsid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Rural do Rio de Janeiro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300</w:t>
            </w:r>
          </w:p>
        </w:tc>
      </w:tr>
      <w:tr w:rsidR="00F83DF0" w:rsidTr="00F83DF0">
        <w:tc>
          <w:tcPr>
            <w:tcW w:w="1668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UFS</w:t>
            </w:r>
          </w:p>
        </w:tc>
        <w:tc>
          <w:tcPr>
            <w:tcW w:w="5103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Sergipe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120</w:t>
            </w:r>
          </w:p>
        </w:tc>
      </w:tr>
      <w:tr w:rsidR="00F83DF0" w:rsidTr="00F83DF0">
        <w:tc>
          <w:tcPr>
            <w:tcW w:w="1668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UFSCar</w:t>
            </w:r>
          </w:p>
        </w:tc>
        <w:tc>
          <w:tcPr>
            <w:tcW w:w="5103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São Carlos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180</w:t>
            </w:r>
          </w:p>
        </w:tc>
      </w:tr>
      <w:tr w:rsidR="00F83DF0" w:rsidTr="00F83DF0">
        <w:tc>
          <w:tcPr>
            <w:tcW w:w="1668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UFSC</w:t>
            </w:r>
          </w:p>
        </w:tc>
        <w:tc>
          <w:tcPr>
            <w:tcW w:w="5103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Santa Catarina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165</w:t>
            </w:r>
          </w:p>
        </w:tc>
      </w:tr>
      <w:tr w:rsidR="00F83DF0" w:rsidTr="00F83DF0">
        <w:trPr>
          <w:trHeight w:val="376"/>
        </w:trPr>
        <w:tc>
          <w:tcPr>
            <w:tcW w:w="1668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UFSJ</w:t>
            </w:r>
          </w:p>
        </w:tc>
        <w:tc>
          <w:tcPr>
            <w:tcW w:w="5103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 xml:space="preserve">Universidade Federal de São João </w:t>
            </w:r>
            <w:proofErr w:type="spellStart"/>
            <w:proofErr w:type="gramStart"/>
            <w:r w:rsidRPr="00F83DF0">
              <w:rPr>
                <w:rFonts w:ascii="Times New Roman" w:hAnsi="Times New Roman" w:cs="Times New Roman"/>
              </w:rPr>
              <w:t>del</w:t>
            </w:r>
            <w:proofErr w:type="spellEnd"/>
            <w:proofErr w:type="gramEnd"/>
            <w:r w:rsidRPr="00F83DF0">
              <w:rPr>
                <w:rFonts w:ascii="Times New Roman" w:hAnsi="Times New Roman" w:cs="Times New Roman"/>
              </w:rPr>
              <w:t>-Rei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300</w:t>
            </w:r>
          </w:p>
        </w:tc>
      </w:tr>
      <w:tr w:rsidR="00F83DF0" w:rsidTr="00F83DF0">
        <w:trPr>
          <w:trHeight w:val="376"/>
        </w:trPr>
        <w:tc>
          <w:tcPr>
            <w:tcW w:w="1668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UFSM</w:t>
            </w:r>
          </w:p>
        </w:tc>
        <w:tc>
          <w:tcPr>
            <w:tcW w:w="5103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Santa Maria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30</w:t>
            </w:r>
          </w:p>
        </w:tc>
      </w:tr>
      <w:tr w:rsidR="00F83DF0" w:rsidTr="00F83DF0">
        <w:trPr>
          <w:trHeight w:val="376"/>
        </w:trPr>
        <w:tc>
          <w:tcPr>
            <w:tcW w:w="1668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UFT</w:t>
            </w:r>
          </w:p>
        </w:tc>
        <w:tc>
          <w:tcPr>
            <w:tcW w:w="5103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do Tocantins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75</w:t>
            </w:r>
          </w:p>
        </w:tc>
      </w:tr>
      <w:tr w:rsidR="00F83DF0" w:rsidTr="00F83DF0">
        <w:trPr>
          <w:trHeight w:val="376"/>
        </w:trPr>
        <w:tc>
          <w:tcPr>
            <w:tcW w:w="1668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UFTM</w:t>
            </w:r>
          </w:p>
        </w:tc>
        <w:tc>
          <w:tcPr>
            <w:tcW w:w="5103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do Triângulo Mineiro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315</w:t>
            </w:r>
          </w:p>
        </w:tc>
      </w:tr>
      <w:tr w:rsidR="00F83DF0" w:rsidTr="00F83DF0">
        <w:trPr>
          <w:trHeight w:val="376"/>
        </w:trPr>
        <w:tc>
          <w:tcPr>
            <w:tcW w:w="1668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UFU</w:t>
            </w:r>
          </w:p>
        </w:tc>
        <w:tc>
          <w:tcPr>
            <w:tcW w:w="5103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Uberlândia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300</w:t>
            </w:r>
          </w:p>
        </w:tc>
      </w:tr>
      <w:tr w:rsidR="00F83DF0" w:rsidTr="00F83DF0">
        <w:trPr>
          <w:trHeight w:val="376"/>
        </w:trPr>
        <w:tc>
          <w:tcPr>
            <w:tcW w:w="1668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UFV</w:t>
            </w:r>
          </w:p>
        </w:tc>
        <w:tc>
          <w:tcPr>
            <w:tcW w:w="5103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Viçosa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240</w:t>
            </w:r>
          </w:p>
        </w:tc>
      </w:tr>
      <w:tr w:rsidR="00F83DF0" w:rsidTr="00F83DF0">
        <w:trPr>
          <w:trHeight w:val="376"/>
        </w:trPr>
        <w:tc>
          <w:tcPr>
            <w:tcW w:w="1668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UFVJM</w:t>
            </w:r>
          </w:p>
        </w:tc>
        <w:tc>
          <w:tcPr>
            <w:tcW w:w="5103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do Vale do Jequitinhonha e Mucuri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120</w:t>
            </w:r>
          </w:p>
        </w:tc>
      </w:tr>
      <w:tr w:rsidR="00F83DF0" w:rsidTr="00F83DF0">
        <w:trPr>
          <w:trHeight w:val="376"/>
        </w:trPr>
        <w:tc>
          <w:tcPr>
            <w:tcW w:w="1668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UnB</w:t>
            </w:r>
          </w:p>
        </w:tc>
        <w:tc>
          <w:tcPr>
            <w:tcW w:w="5103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de Brasília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225</w:t>
            </w:r>
          </w:p>
        </w:tc>
      </w:tr>
      <w:tr w:rsidR="00F83DF0" w:rsidTr="00F83DF0">
        <w:trPr>
          <w:trHeight w:val="376"/>
        </w:trPr>
        <w:tc>
          <w:tcPr>
            <w:tcW w:w="1668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UNIFA</w:t>
            </w: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103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do Amapá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45</w:t>
            </w:r>
          </w:p>
        </w:tc>
      </w:tr>
      <w:tr w:rsidR="00F83DF0" w:rsidTr="00F83DF0">
        <w:trPr>
          <w:trHeight w:val="376"/>
        </w:trPr>
        <w:tc>
          <w:tcPr>
            <w:tcW w:w="1668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UNIPAMPA</w:t>
            </w:r>
          </w:p>
        </w:tc>
        <w:tc>
          <w:tcPr>
            <w:tcW w:w="5103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do Pampa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345</w:t>
            </w:r>
          </w:p>
        </w:tc>
      </w:tr>
      <w:tr w:rsidR="00F83DF0" w:rsidTr="00F83DF0">
        <w:trPr>
          <w:trHeight w:val="376"/>
        </w:trPr>
        <w:tc>
          <w:tcPr>
            <w:tcW w:w="1668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UNIR</w:t>
            </w:r>
          </w:p>
        </w:tc>
        <w:tc>
          <w:tcPr>
            <w:tcW w:w="5103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Federal de Rondônia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45</w:t>
            </w:r>
          </w:p>
        </w:tc>
      </w:tr>
      <w:tr w:rsidR="00F83DF0" w:rsidTr="00F83DF0">
        <w:trPr>
          <w:trHeight w:val="376"/>
        </w:trPr>
        <w:tc>
          <w:tcPr>
            <w:tcW w:w="1668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UTFPR</w:t>
            </w:r>
          </w:p>
        </w:tc>
        <w:tc>
          <w:tcPr>
            <w:tcW w:w="5103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Universidade Tecnológica Federal do Paraná</w:t>
            </w: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225</w:t>
            </w:r>
          </w:p>
        </w:tc>
      </w:tr>
      <w:tr w:rsidR="00F83DF0" w:rsidTr="00F83DF0">
        <w:trPr>
          <w:trHeight w:val="376"/>
        </w:trPr>
        <w:tc>
          <w:tcPr>
            <w:tcW w:w="1668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Total Geral</w:t>
            </w:r>
          </w:p>
        </w:tc>
        <w:tc>
          <w:tcPr>
            <w:tcW w:w="5103" w:type="dxa"/>
          </w:tcPr>
          <w:p w:rsidR="00F83DF0" w:rsidRPr="00F83DF0" w:rsidRDefault="00F83DF0" w:rsidP="00F83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  <w:r w:rsidRPr="00F83DF0">
              <w:rPr>
                <w:rFonts w:ascii="Times New Roman" w:hAnsi="Times New Roman" w:cs="Times New Roman"/>
              </w:rPr>
              <w:t>9.225</w:t>
            </w:r>
          </w:p>
          <w:p w:rsidR="00F83DF0" w:rsidRPr="00F83DF0" w:rsidRDefault="00F83DF0" w:rsidP="00F83DF0">
            <w:pPr>
              <w:ind w:left="60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617D" w:rsidRDefault="009D617D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2. DAS INSCRIÇÕES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2.1. As inscrições aos cursos presenciais de língua inglesa serão efetuadas exclusivamente pela</w:t>
      </w:r>
      <w:r w:rsidR="00F83DF0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internet, por meio de link disponibilizado na página eletrônica do Programa </w:t>
      </w:r>
      <w:proofErr w:type="spellStart"/>
      <w:proofErr w:type="gramStart"/>
      <w:r w:rsidRPr="00F83DF0">
        <w:rPr>
          <w:rFonts w:ascii="Times New Roman" w:hAnsi="Times New Roman" w:cs="Times New Roman"/>
        </w:rPr>
        <w:t>IsF</w:t>
      </w:r>
      <w:proofErr w:type="spellEnd"/>
      <w:proofErr w:type="gramEnd"/>
      <w:r w:rsidRPr="00F83DF0">
        <w:rPr>
          <w:rFonts w:ascii="Times New Roman" w:hAnsi="Times New Roman" w:cs="Times New Roman"/>
        </w:rPr>
        <w:t>, no endereço:</w:t>
      </w:r>
      <w:r w:rsidR="00F83DF0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http:// </w:t>
      </w:r>
      <w:proofErr w:type="spellStart"/>
      <w:r w:rsidRPr="00F83DF0">
        <w:rPr>
          <w:rFonts w:ascii="Times New Roman" w:hAnsi="Times New Roman" w:cs="Times New Roman"/>
        </w:rPr>
        <w:t>isf</w:t>
      </w:r>
      <w:proofErr w:type="spellEnd"/>
      <w:r w:rsidRPr="00F83DF0">
        <w:rPr>
          <w:rFonts w:ascii="Times New Roman" w:hAnsi="Times New Roman" w:cs="Times New Roman"/>
        </w:rPr>
        <w:t xml:space="preserve">. </w:t>
      </w:r>
      <w:proofErr w:type="gramStart"/>
      <w:r w:rsidRPr="00F83DF0">
        <w:rPr>
          <w:rFonts w:ascii="Times New Roman" w:hAnsi="Times New Roman" w:cs="Times New Roman"/>
        </w:rPr>
        <w:t>mec.</w:t>
      </w:r>
      <w:proofErr w:type="gramEnd"/>
      <w:r w:rsidRPr="00F83DF0">
        <w:rPr>
          <w:rFonts w:ascii="Times New Roman" w:hAnsi="Times New Roman" w:cs="Times New Roman"/>
        </w:rPr>
        <w:t xml:space="preserve"> gov. br.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2.2. O sistema ficará disponível para inscrição dos candidatos de 12h do dia 31 de janeiro de</w:t>
      </w:r>
      <w:r w:rsidR="00F83DF0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2014 até </w:t>
      </w:r>
      <w:proofErr w:type="gramStart"/>
      <w:r w:rsidRPr="00F83DF0">
        <w:rPr>
          <w:rFonts w:ascii="Times New Roman" w:hAnsi="Times New Roman" w:cs="Times New Roman"/>
        </w:rPr>
        <w:t>as</w:t>
      </w:r>
      <w:proofErr w:type="gramEnd"/>
      <w:r w:rsidRPr="00F83DF0">
        <w:rPr>
          <w:rFonts w:ascii="Times New Roman" w:hAnsi="Times New Roman" w:cs="Times New Roman"/>
        </w:rPr>
        <w:t xml:space="preserve"> 23 horas e 59 minutos do dia 13 de fevereiro de 2014, observado o horário oficial de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Brasília- DF.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2.3. Somente poderão se inscrever no processo seletivo alunos que atendam cumulativamente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aos seguintes critérios: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 xml:space="preserve">2.3.1. </w:t>
      </w:r>
      <w:proofErr w:type="gramStart"/>
      <w:r w:rsidRPr="00F83DF0">
        <w:rPr>
          <w:rFonts w:ascii="Times New Roman" w:hAnsi="Times New Roman" w:cs="Times New Roman"/>
        </w:rPr>
        <w:t>alunos</w:t>
      </w:r>
      <w:proofErr w:type="gramEnd"/>
      <w:r w:rsidRPr="00F83DF0">
        <w:rPr>
          <w:rFonts w:ascii="Times New Roman" w:hAnsi="Times New Roman" w:cs="Times New Roman"/>
        </w:rPr>
        <w:t xml:space="preserve"> de graduação, de mestrado ou de doutorado, com matrículas ativas nas universidades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federais credenciadas como </w:t>
      </w:r>
      <w:proofErr w:type="spellStart"/>
      <w:r w:rsidRPr="00F83DF0">
        <w:rPr>
          <w:rFonts w:ascii="Times New Roman" w:hAnsi="Times New Roman" w:cs="Times New Roman"/>
        </w:rPr>
        <w:t>NucLi</w:t>
      </w:r>
      <w:proofErr w:type="spellEnd"/>
      <w:r w:rsidRPr="00F83DF0">
        <w:rPr>
          <w:rFonts w:ascii="Times New Roman" w:hAnsi="Times New Roman" w:cs="Times New Roman"/>
        </w:rPr>
        <w:t>;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lastRenderedPageBreak/>
        <w:t xml:space="preserve">2.3.2. </w:t>
      </w:r>
      <w:proofErr w:type="gramStart"/>
      <w:r w:rsidRPr="00F83DF0">
        <w:rPr>
          <w:rFonts w:ascii="Times New Roman" w:hAnsi="Times New Roman" w:cs="Times New Roman"/>
        </w:rPr>
        <w:t>alunos</w:t>
      </w:r>
      <w:proofErr w:type="gramEnd"/>
      <w:r w:rsidRPr="00F83DF0">
        <w:rPr>
          <w:rFonts w:ascii="Times New Roman" w:hAnsi="Times New Roman" w:cs="Times New Roman"/>
        </w:rPr>
        <w:t xml:space="preserve"> participantes e ativos no Curso </w:t>
      </w:r>
      <w:proofErr w:type="spellStart"/>
      <w:r w:rsidRPr="00F83DF0">
        <w:rPr>
          <w:rFonts w:ascii="Times New Roman" w:hAnsi="Times New Roman" w:cs="Times New Roman"/>
        </w:rPr>
        <w:t>My</w:t>
      </w:r>
      <w:proofErr w:type="spellEnd"/>
      <w:r w:rsidRPr="00F83DF0">
        <w:rPr>
          <w:rFonts w:ascii="Times New Roman" w:hAnsi="Times New Roman" w:cs="Times New Roman"/>
        </w:rPr>
        <w:t xml:space="preserve"> </w:t>
      </w:r>
      <w:proofErr w:type="spellStart"/>
      <w:r w:rsidRPr="00F83DF0">
        <w:rPr>
          <w:rFonts w:ascii="Times New Roman" w:hAnsi="Times New Roman" w:cs="Times New Roman"/>
        </w:rPr>
        <w:t>English</w:t>
      </w:r>
      <w:proofErr w:type="spellEnd"/>
      <w:r w:rsidRPr="00F83DF0">
        <w:rPr>
          <w:rFonts w:ascii="Times New Roman" w:hAnsi="Times New Roman" w:cs="Times New Roman"/>
        </w:rPr>
        <w:t xml:space="preserve"> Online, cujas inscrições tenham sido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validadas com até 48 horas de antecedência à inscrição junto ao </w:t>
      </w:r>
      <w:proofErr w:type="spellStart"/>
      <w:r w:rsidRPr="00F83DF0">
        <w:rPr>
          <w:rFonts w:ascii="Times New Roman" w:hAnsi="Times New Roman" w:cs="Times New Roman"/>
        </w:rPr>
        <w:t>NucLi</w:t>
      </w:r>
      <w:proofErr w:type="spellEnd"/>
      <w:r w:rsidRPr="00F83DF0">
        <w:rPr>
          <w:rFonts w:ascii="Times New Roman" w:hAnsi="Times New Roman" w:cs="Times New Roman"/>
        </w:rPr>
        <w:t>; e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 xml:space="preserve">2.3.3. </w:t>
      </w:r>
      <w:proofErr w:type="gramStart"/>
      <w:r w:rsidRPr="00F83DF0">
        <w:rPr>
          <w:rFonts w:ascii="Times New Roman" w:hAnsi="Times New Roman" w:cs="Times New Roman"/>
        </w:rPr>
        <w:t>alunos</w:t>
      </w:r>
      <w:proofErr w:type="gramEnd"/>
      <w:r w:rsidRPr="00F83DF0">
        <w:rPr>
          <w:rFonts w:ascii="Times New Roman" w:hAnsi="Times New Roman" w:cs="Times New Roman"/>
        </w:rPr>
        <w:t xml:space="preserve"> que tenham concluído até 90% do total de créditos da carga horária de seu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curso.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2.4. O candidato poderá realizar apenas um curso por vez e sua inscrição terá a validade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correspondente à duração do curso para o qual foi inscrito. Para concorrer </w:t>
      </w:r>
      <w:proofErr w:type="gramStart"/>
      <w:r w:rsidRPr="00F83DF0">
        <w:rPr>
          <w:rFonts w:ascii="Times New Roman" w:hAnsi="Times New Roman" w:cs="Times New Roman"/>
        </w:rPr>
        <w:t>a</w:t>
      </w:r>
      <w:proofErr w:type="gramEnd"/>
      <w:r w:rsidRPr="00F83DF0">
        <w:rPr>
          <w:rFonts w:ascii="Times New Roman" w:hAnsi="Times New Roman" w:cs="Times New Roman"/>
        </w:rPr>
        <w:t xml:space="preserve"> nova oferta de vagas, o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candidato deverá realizar nova inscrição.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2.5. Durante o período de inscrição, o candidato poderá alterar as suas opções, bem como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efetuar o seu cancelamento. A sua classificação no processo seletivo será efetuada com base na última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alteração efetuada e confirmada pelo candidato no sistema.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 xml:space="preserve">2.7. Não haverá cobrança de taxa de inscrição dos candidatos às vagas ofertadas pelos </w:t>
      </w:r>
      <w:proofErr w:type="spellStart"/>
      <w:proofErr w:type="gramStart"/>
      <w:r w:rsidRPr="00F83DF0">
        <w:rPr>
          <w:rFonts w:ascii="Times New Roman" w:hAnsi="Times New Roman" w:cs="Times New Roman"/>
        </w:rPr>
        <w:t>NucLi</w:t>
      </w:r>
      <w:proofErr w:type="spellEnd"/>
      <w:proofErr w:type="gramEnd"/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credenciados ao Programa </w:t>
      </w:r>
      <w:proofErr w:type="spellStart"/>
      <w:r w:rsidRPr="00F83DF0">
        <w:rPr>
          <w:rFonts w:ascii="Times New Roman" w:hAnsi="Times New Roman" w:cs="Times New Roman"/>
        </w:rPr>
        <w:t>IsF</w:t>
      </w:r>
      <w:proofErr w:type="spellEnd"/>
      <w:r w:rsidRPr="00F83DF0">
        <w:rPr>
          <w:rFonts w:ascii="Times New Roman" w:hAnsi="Times New Roman" w:cs="Times New Roman"/>
        </w:rPr>
        <w:t>, mas caberá ao aluno classificado adquirir seu próprio material didático,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conforme definido pelo </w:t>
      </w:r>
      <w:proofErr w:type="spellStart"/>
      <w:r w:rsidRPr="00F83DF0">
        <w:rPr>
          <w:rFonts w:ascii="Times New Roman" w:hAnsi="Times New Roman" w:cs="Times New Roman"/>
        </w:rPr>
        <w:t>NucLi</w:t>
      </w:r>
      <w:proofErr w:type="spellEnd"/>
      <w:r w:rsidRPr="00F83DF0">
        <w:rPr>
          <w:rFonts w:ascii="Times New Roman" w:hAnsi="Times New Roman" w:cs="Times New Roman"/>
        </w:rPr>
        <w:t xml:space="preserve"> participante. Portanto, caberá ao aluno respeitar a Lei de Direitos Autorais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(cf. Art. 46, Inciso VIII, Lei 9.610/98).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2.8. A inscrição do candidato aos cursos presenciais de línguas ofertados pelas universidades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federais credenciadas como </w:t>
      </w:r>
      <w:proofErr w:type="spellStart"/>
      <w:proofErr w:type="gramStart"/>
      <w:r w:rsidRPr="00F83DF0">
        <w:rPr>
          <w:rFonts w:ascii="Times New Roman" w:hAnsi="Times New Roman" w:cs="Times New Roman"/>
        </w:rPr>
        <w:t>NucLi</w:t>
      </w:r>
      <w:proofErr w:type="spellEnd"/>
      <w:proofErr w:type="gramEnd"/>
      <w:r w:rsidRPr="00F83DF0">
        <w:rPr>
          <w:rFonts w:ascii="Times New Roman" w:hAnsi="Times New Roman" w:cs="Times New Roman"/>
        </w:rPr>
        <w:t xml:space="preserve"> pelo Programa </w:t>
      </w:r>
      <w:proofErr w:type="spellStart"/>
      <w:r w:rsidRPr="00F83DF0">
        <w:rPr>
          <w:rFonts w:ascii="Times New Roman" w:hAnsi="Times New Roman" w:cs="Times New Roman"/>
        </w:rPr>
        <w:t>IsF</w:t>
      </w:r>
      <w:proofErr w:type="spellEnd"/>
      <w:r w:rsidRPr="00F83DF0">
        <w:rPr>
          <w:rFonts w:ascii="Times New Roman" w:hAnsi="Times New Roman" w:cs="Times New Roman"/>
        </w:rPr>
        <w:t xml:space="preserve"> implicará a concordância expressa e irretratável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com o disposto na Portaria Normativa MEC no- 025, de 25 de novembro de 2013 e neste Edital.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3. DA OCUPAÇÃO DAS VAGAS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3.1. Para efeito de classificação, terão prioridade os candidatos que: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I - sejam alunos de graduação de cursos pertencentes às áreas do Programa Ciência sem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Fronteiras (</w:t>
      </w:r>
      <w:proofErr w:type="spellStart"/>
      <w:proofErr w:type="gramStart"/>
      <w:r w:rsidRPr="00F83DF0">
        <w:rPr>
          <w:rFonts w:ascii="Times New Roman" w:hAnsi="Times New Roman" w:cs="Times New Roman"/>
        </w:rPr>
        <w:t>CsF</w:t>
      </w:r>
      <w:proofErr w:type="spellEnd"/>
      <w:proofErr w:type="gramEnd"/>
      <w:r w:rsidRPr="00F83DF0">
        <w:rPr>
          <w:rFonts w:ascii="Times New Roman" w:hAnsi="Times New Roman" w:cs="Times New Roman"/>
        </w:rPr>
        <w:t>);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II - tenham se submetido ao ENEM a partir de 2010 e que tenham obtido média igual ou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superior a 600 pontos, incluindo a redação;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III - tenham concluído até 80% da carga horária total de seu curso, com preferência gradual ao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mais próximo deste teto; IV - com maior índice de rendimento acadêmico conforme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parâmetros definidos pela própria universidade; </w:t>
      </w:r>
      <w:proofErr w:type="gramStart"/>
      <w:r w:rsidRPr="00F83DF0">
        <w:rPr>
          <w:rFonts w:ascii="Times New Roman" w:hAnsi="Times New Roman" w:cs="Times New Roman"/>
        </w:rPr>
        <w:t>e</w:t>
      </w:r>
      <w:proofErr w:type="gramEnd"/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V - bolsistas ou ex-bolsistas do Programa Jovens Talentos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para a Ciência de qualquer curso de graduação, com vínculo institucional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e que atenda aos demais critérios de seleção.</w:t>
      </w:r>
    </w:p>
    <w:p w:rsidR="00032AAB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3.2 As inscrições serão processadas e alocadas nas vagas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existentes em blocos de prioridade conforme descritos e ordenados a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F83DF0">
        <w:rPr>
          <w:rFonts w:ascii="Times New Roman" w:hAnsi="Times New Roman" w:cs="Times New Roman"/>
        </w:rPr>
        <w:t>seguir</w:t>
      </w:r>
      <w:proofErr w:type="gramEnd"/>
      <w:r w:rsidRPr="00F83DF0">
        <w:rPr>
          <w:rFonts w:ascii="Times New Roman" w:hAnsi="Times New Roman" w:cs="Times New Roman"/>
        </w:rPr>
        <w:t>: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 xml:space="preserve">I - 1º Bloco: alunos dos </w:t>
      </w:r>
      <w:proofErr w:type="spellStart"/>
      <w:proofErr w:type="gramStart"/>
      <w:r w:rsidRPr="00F83DF0">
        <w:rPr>
          <w:rFonts w:ascii="Times New Roman" w:hAnsi="Times New Roman" w:cs="Times New Roman"/>
        </w:rPr>
        <w:t>NucLi</w:t>
      </w:r>
      <w:proofErr w:type="spellEnd"/>
      <w:proofErr w:type="gramEnd"/>
      <w:r w:rsidRPr="00F83DF0">
        <w:rPr>
          <w:rFonts w:ascii="Times New Roman" w:hAnsi="Times New Roman" w:cs="Times New Roman"/>
        </w:rPr>
        <w:t xml:space="preserve"> aprovados no módulo imediatamente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anterior;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II - 2º Bloco: alunos da graduação de cursos pertencentes às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áreas prioritárias do Programa </w:t>
      </w:r>
      <w:proofErr w:type="spellStart"/>
      <w:proofErr w:type="gramStart"/>
      <w:r w:rsidRPr="00F83DF0">
        <w:rPr>
          <w:rFonts w:ascii="Times New Roman" w:hAnsi="Times New Roman" w:cs="Times New Roman"/>
        </w:rPr>
        <w:t>CsF</w:t>
      </w:r>
      <w:proofErr w:type="spellEnd"/>
      <w:proofErr w:type="gramEnd"/>
      <w:r w:rsidRPr="00F83DF0">
        <w:rPr>
          <w:rFonts w:ascii="Times New Roman" w:hAnsi="Times New Roman" w:cs="Times New Roman"/>
        </w:rPr>
        <w:t xml:space="preserve"> que tenham concluído até 80% da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carga horária total de seu curso;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III - 3º Bloco: alunos da graduação de cursos pertencentes às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áreas prioritárias do Programa </w:t>
      </w:r>
      <w:proofErr w:type="spellStart"/>
      <w:proofErr w:type="gramStart"/>
      <w:r w:rsidRPr="00F83DF0">
        <w:rPr>
          <w:rFonts w:ascii="Times New Roman" w:hAnsi="Times New Roman" w:cs="Times New Roman"/>
        </w:rPr>
        <w:t>CsF</w:t>
      </w:r>
      <w:proofErr w:type="spellEnd"/>
      <w:proofErr w:type="gramEnd"/>
      <w:r w:rsidRPr="00F83DF0">
        <w:rPr>
          <w:rFonts w:ascii="Times New Roman" w:hAnsi="Times New Roman" w:cs="Times New Roman"/>
        </w:rPr>
        <w:t xml:space="preserve"> que tenham completado entre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80,1% e 90% da carga horária total de seu curso;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IV - 4º Bloco: alunos da graduação que participem ou tenham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participado do Programa Jovens Talentos da Ciência como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bolsistas CAPES, com matrícula ativa e que ainda não tenham sido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selecionados em um dos dois blocos acima;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V - 5º Bloco: alunos de doutorado de programas nas áreas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prioritárias do Programa </w:t>
      </w:r>
      <w:proofErr w:type="spellStart"/>
      <w:proofErr w:type="gramStart"/>
      <w:r w:rsidRPr="00F83DF0">
        <w:rPr>
          <w:rFonts w:ascii="Times New Roman" w:hAnsi="Times New Roman" w:cs="Times New Roman"/>
        </w:rPr>
        <w:t>CsF</w:t>
      </w:r>
      <w:proofErr w:type="spellEnd"/>
      <w:proofErr w:type="gramEnd"/>
      <w:r w:rsidRPr="00F83DF0">
        <w:rPr>
          <w:rFonts w:ascii="Times New Roman" w:hAnsi="Times New Roman" w:cs="Times New Roman"/>
        </w:rPr>
        <w:t>;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VI - 6º Bloco: alunos de mestrado de programas nas áreas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prioritárias do Programa </w:t>
      </w:r>
      <w:proofErr w:type="spellStart"/>
      <w:proofErr w:type="gramStart"/>
      <w:r w:rsidRPr="00F83DF0">
        <w:rPr>
          <w:rFonts w:ascii="Times New Roman" w:hAnsi="Times New Roman" w:cs="Times New Roman"/>
        </w:rPr>
        <w:t>CsF</w:t>
      </w:r>
      <w:proofErr w:type="spellEnd"/>
      <w:proofErr w:type="gramEnd"/>
      <w:r w:rsidRPr="00F83DF0">
        <w:rPr>
          <w:rFonts w:ascii="Times New Roman" w:hAnsi="Times New Roman" w:cs="Times New Roman"/>
        </w:rPr>
        <w:t>;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VII - 7º Bloco: alunos de graduação de quaisquer cursos não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contemplados nos blocos anteriores;</w:t>
      </w:r>
    </w:p>
    <w:p w:rsidR="00032AAB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VIII - 8º Bloco: alunos de doutorado de quaisquer Programas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não contemplados nos blocos anteriores; </w:t>
      </w:r>
      <w:proofErr w:type="gramStart"/>
      <w:r w:rsidRPr="00F83DF0">
        <w:rPr>
          <w:rFonts w:ascii="Times New Roman" w:hAnsi="Times New Roman" w:cs="Times New Roman"/>
        </w:rPr>
        <w:t>e</w:t>
      </w:r>
      <w:proofErr w:type="gramEnd"/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lastRenderedPageBreak/>
        <w:t>IX - 9º Bloco: alunos de mestrado de quaisquer Programas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não contemplados nos blocos anteriores;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§ 1º Excepcionalmente, caso o universo de alunos em prioridade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seja inferior ao número de vagas ofertadas, poderão concorrer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ao conjunto de vagas alunos regulares de Doutorado e Mestrado de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programas ou cursos pertencentes às áreas do Programa </w:t>
      </w:r>
      <w:proofErr w:type="spellStart"/>
      <w:proofErr w:type="gramStart"/>
      <w:r w:rsidRPr="00F83DF0">
        <w:rPr>
          <w:rFonts w:ascii="Times New Roman" w:hAnsi="Times New Roman" w:cs="Times New Roman"/>
        </w:rPr>
        <w:t>CsF</w:t>
      </w:r>
      <w:proofErr w:type="spellEnd"/>
      <w:proofErr w:type="gramEnd"/>
      <w:r w:rsidRPr="00F83DF0">
        <w:rPr>
          <w:rFonts w:ascii="Times New Roman" w:hAnsi="Times New Roman" w:cs="Times New Roman"/>
        </w:rPr>
        <w:t>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§ 2º Caso a demanda permaneça inferior ao número de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vagas, alunos de graduação de quaisquer cursos poderão também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concorrer ao conjunto de vagas, desde que atendam aos demais critérios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previstos neste Edital.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§ 3º No caso de classificações idênticas, o desempate entre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os candidatos será feito considerando-se a data de nascimento, com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prioridade para aqueles de maior idade.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3.3. O candidato perderá a vaga nos cursos presenciais de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língua inglesa em qualquer uma das situações abaixo: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I - por motivos de indisciplina, nos termos definidos pela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legislação específica de cada universidade;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II - recusar-se a assinar o Termo de Compromisso ou a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cumprir as determinações e normas do Programa </w:t>
      </w:r>
      <w:proofErr w:type="spellStart"/>
      <w:proofErr w:type="gramStart"/>
      <w:r w:rsidRPr="00F83DF0">
        <w:rPr>
          <w:rFonts w:ascii="Times New Roman" w:hAnsi="Times New Roman" w:cs="Times New Roman"/>
        </w:rPr>
        <w:t>IsF</w:t>
      </w:r>
      <w:proofErr w:type="spellEnd"/>
      <w:proofErr w:type="gramEnd"/>
      <w:r w:rsidRPr="00F83DF0">
        <w:rPr>
          <w:rFonts w:ascii="Times New Roman" w:hAnsi="Times New Roman" w:cs="Times New Roman"/>
        </w:rPr>
        <w:t>;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III - recusar-se a se submeter ao teste TOEFL ITP e a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quaisquer outras avaliações definidas como critérios de avaliação e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acompanhamento do Programa </w:t>
      </w:r>
      <w:proofErr w:type="spellStart"/>
      <w:proofErr w:type="gramStart"/>
      <w:r w:rsidRPr="00F83DF0">
        <w:rPr>
          <w:rFonts w:ascii="Times New Roman" w:hAnsi="Times New Roman" w:cs="Times New Roman"/>
        </w:rPr>
        <w:t>IsF</w:t>
      </w:r>
      <w:proofErr w:type="spellEnd"/>
      <w:proofErr w:type="gramEnd"/>
      <w:r w:rsidRPr="00F83DF0">
        <w:rPr>
          <w:rFonts w:ascii="Times New Roman" w:hAnsi="Times New Roman" w:cs="Times New Roman"/>
        </w:rPr>
        <w:t>;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IV - não alcançar a frequência mínima estabelecida para o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curso;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 xml:space="preserve">V - não comparecer às primeiras quatro horas do curso; </w:t>
      </w:r>
      <w:proofErr w:type="gramStart"/>
      <w:r w:rsidRPr="00F83DF0">
        <w:rPr>
          <w:rFonts w:ascii="Times New Roman" w:hAnsi="Times New Roman" w:cs="Times New Roman"/>
        </w:rPr>
        <w:t>e</w:t>
      </w:r>
      <w:proofErr w:type="gramEnd"/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VI - deixar de comparecer às aulas por mais de 4 horas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consecutivas ou por mais de 8 horas em datas intercaladas, sem a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devida justificativa formal, nos termos definidos pelo </w:t>
      </w:r>
      <w:proofErr w:type="spellStart"/>
      <w:proofErr w:type="gramStart"/>
      <w:r w:rsidRPr="00F83DF0">
        <w:rPr>
          <w:rFonts w:ascii="Times New Roman" w:hAnsi="Times New Roman" w:cs="Times New Roman"/>
        </w:rPr>
        <w:t>NucLi</w:t>
      </w:r>
      <w:proofErr w:type="spellEnd"/>
      <w:proofErr w:type="gramEnd"/>
      <w:r w:rsidRPr="00F83DF0">
        <w:rPr>
          <w:rFonts w:ascii="Times New Roman" w:hAnsi="Times New Roman" w:cs="Times New Roman"/>
        </w:rPr>
        <w:t>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VII - solicitar seu desligamento.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§ 1º O candidato que incidir nas hipóteses dos itens I, II e III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acima perderá a possiblidade de concorrer em futuros editais de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seleção do Programa </w:t>
      </w:r>
      <w:proofErr w:type="spellStart"/>
      <w:proofErr w:type="gramStart"/>
      <w:r w:rsidRPr="00F83DF0">
        <w:rPr>
          <w:rFonts w:ascii="Times New Roman" w:hAnsi="Times New Roman" w:cs="Times New Roman"/>
        </w:rPr>
        <w:t>IsF</w:t>
      </w:r>
      <w:proofErr w:type="spellEnd"/>
      <w:proofErr w:type="gramEnd"/>
      <w:r w:rsidRPr="00F83DF0">
        <w:rPr>
          <w:rFonts w:ascii="Times New Roman" w:hAnsi="Times New Roman" w:cs="Times New Roman"/>
        </w:rPr>
        <w:t>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§ 2º O candidato que incidir em uma das hipóteses dos itens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IV, V, VI ou VII acima perderá a possiblidade de aproveitar os</w:t>
      </w:r>
      <w:r w:rsidR="009D617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83DF0">
        <w:rPr>
          <w:rFonts w:ascii="Times New Roman" w:hAnsi="Times New Roman" w:cs="Times New Roman"/>
        </w:rPr>
        <w:t>critérios de prioridade a que fizer jus.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§ 3º O candidato que incidir na hipótese do item VII, em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casos relacionados a enfermidades, internações ou a quaisquer outros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fatores impeditivos supervenientes e alheios a sua vontade, poderá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solicitar a manutenção de sua prioridade, mediante a apresentação de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requerimento acompanhado de documentos comprobatórios de sua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situação junto à coordenação local do Programa </w:t>
      </w:r>
      <w:proofErr w:type="spellStart"/>
      <w:proofErr w:type="gramStart"/>
      <w:r w:rsidRPr="00F83DF0">
        <w:rPr>
          <w:rFonts w:ascii="Times New Roman" w:hAnsi="Times New Roman" w:cs="Times New Roman"/>
        </w:rPr>
        <w:t>IsF</w:t>
      </w:r>
      <w:proofErr w:type="spellEnd"/>
      <w:proofErr w:type="gramEnd"/>
      <w:r w:rsidRPr="00F83DF0">
        <w:rPr>
          <w:rFonts w:ascii="Times New Roman" w:hAnsi="Times New Roman" w:cs="Times New Roman"/>
        </w:rPr>
        <w:t>, para avaliação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do Núcleo Gestor do Programa.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4. DA DIVULGAÇÃO DOS RESULTADOS E DAS CHAMADAS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4.1. A inscrição do candidato será confirmada somente pelo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e-mail informado no ato da inscrição, até o dia 17/02/2014. Caberá ao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candidato conferir sua caixa de mensagem, incluindo a caixa spam, e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acessar o site de inscrições para conferir o resultado da seleção.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4.2. Em caso de desistência ou desligamento, haverá chamadas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sucessivas dos candidatos em lista de espera somente pelo </w:t>
      </w:r>
      <w:proofErr w:type="spellStart"/>
      <w:r w:rsidRPr="00F83DF0">
        <w:rPr>
          <w:rFonts w:ascii="Times New Roman" w:hAnsi="Times New Roman" w:cs="Times New Roman"/>
        </w:rPr>
        <w:t>email</w:t>
      </w:r>
      <w:proofErr w:type="spellEnd"/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informado no momento da inscrição, obedecida a ordem de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classificação.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4.3. O candidato poderá consultar o resultado das chamadas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na página eletrônica do Programa </w:t>
      </w:r>
      <w:proofErr w:type="spellStart"/>
      <w:proofErr w:type="gramStart"/>
      <w:r w:rsidRPr="00F83DF0">
        <w:rPr>
          <w:rFonts w:ascii="Times New Roman" w:hAnsi="Times New Roman" w:cs="Times New Roman"/>
        </w:rPr>
        <w:t>IsF</w:t>
      </w:r>
      <w:proofErr w:type="spellEnd"/>
      <w:proofErr w:type="gramEnd"/>
      <w:r w:rsidRPr="00F83DF0">
        <w:rPr>
          <w:rFonts w:ascii="Times New Roman" w:hAnsi="Times New Roman" w:cs="Times New Roman"/>
        </w:rPr>
        <w:t xml:space="preserve"> na internet por meio de sua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senha de acesso e nas instituições para as quais efetuou sua inscrição.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4.4. É de exclusiva responsabilidade do candidato: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I - observar os prazos estabelecidos neste Edital e divulgados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na página eletrônica do Programa </w:t>
      </w:r>
      <w:proofErr w:type="spellStart"/>
      <w:proofErr w:type="gramStart"/>
      <w:r w:rsidRPr="00F83DF0">
        <w:rPr>
          <w:rFonts w:ascii="Times New Roman" w:hAnsi="Times New Roman" w:cs="Times New Roman"/>
        </w:rPr>
        <w:t>IsF</w:t>
      </w:r>
      <w:proofErr w:type="spellEnd"/>
      <w:proofErr w:type="gramEnd"/>
      <w:r w:rsidRPr="00F83DF0">
        <w:rPr>
          <w:rFonts w:ascii="Times New Roman" w:hAnsi="Times New Roman" w:cs="Times New Roman"/>
        </w:rPr>
        <w:t xml:space="preserve"> na internet, assim como suas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eventuais alterações;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II - acompanhar sua classificação e sua convocação para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preenchimento das vagas em lista de espera, observando prazos e</w:t>
      </w:r>
      <w:r w:rsidR="00032AAB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procedimentos; </w:t>
      </w:r>
      <w:proofErr w:type="gramStart"/>
      <w:r w:rsidRPr="00F83DF0">
        <w:rPr>
          <w:rFonts w:ascii="Times New Roman" w:hAnsi="Times New Roman" w:cs="Times New Roman"/>
        </w:rPr>
        <w:t>e</w:t>
      </w:r>
      <w:proofErr w:type="gramEnd"/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lastRenderedPageBreak/>
        <w:t>III - certificar-se de que cumpre os requisitos estabelecidos</w:t>
      </w:r>
      <w:r w:rsidR="003A0FA7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para concorrer às vagas referidas no item 1.5.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4.5. A seleção do candidato assegura apenas a expectativa de</w:t>
      </w:r>
      <w:r w:rsidR="003A0FA7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direito à vaga para a qual se inscreveu, estando sua inscrição condicionada</w:t>
      </w:r>
      <w:r w:rsidR="003A0FA7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à existência de vagas.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5. DAS DISPOSIÇÕES FINAIS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5.1. O candidato deverá confirmar sua inscrição até a primeira</w:t>
      </w:r>
      <w:r w:rsidR="003A0FA7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semana de aula, por meio da assinatura de Termo de Compromisso</w:t>
      </w:r>
      <w:r w:rsidR="003A0FA7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com o Programa </w:t>
      </w:r>
      <w:proofErr w:type="spellStart"/>
      <w:proofErr w:type="gramStart"/>
      <w:r w:rsidRPr="00F83DF0">
        <w:rPr>
          <w:rFonts w:ascii="Times New Roman" w:hAnsi="Times New Roman" w:cs="Times New Roman"/>
        </w:rPr>
        <w:t>IsF</w:t>
      </w:r>
      <w:proofErr w:type="spellEnd"/>
      <w:proofErr w:type="gramEnd"/>
      <w:r w:rsidRPr="00F83DF0">
        <w:rPr>
          <w:rFonts w:ascii="Times New Roman" w:hAnsi="Times New Roman" w:cs="Times New Roman"/>
        </w:rPr>
        <w:t>, no qual atestará conhecimento dos</w:t>
      </w:r>
      <w:r w:rsidR="003A0FA7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termos deste edital e das demais normas de funcionamento do Programa.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5.2 Eventuais comunicados do Ministério da Educação acerca</w:t>
      </w:r>
      <w:r w:rsidR="003A0FA7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do processo seletivo do Programa </w:t>
      </w:r>
      <w:proofErr w:type="spellStart"/>
      <w:proofErr w:type="gramStart"/>
      <w:r w:rsidRPr="00F83DF0">
        <w:rPr>
          <w:rFonts w:ascii="Times New Roman" w:hAnsi="Times New Roman" w:cs="Times New Roman"/>
        </w:rPr>
        <w:t>IsF</w:t>
      </w:r>
      <w:proofErr w:type="spellEnd"/>
      <w:proofErr w:type="gramEnd"/>
      <w:r w:rsidRPr="00F83DF0">
        <w:rPr>
          <w:rFonts w:ascii="Times New Roman" w:hAnsi="Times New Roman" w:cs="Times New Roman"/>
        </w:rPr>
        <w:t xml:space="preserve"> têm caráter meramente</w:t>
      </w:r>
      <w:r w:rsidR="003A0FA7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complementar, não afastando a responsabilidade do candidato de se</w:t>
      </w:r>
      <w:r w:rsidR="003A0FA7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manter informado acerca dos prazos e procedimentos referidos neste</w:t>
      </w:r>
      <w:r w:rsidR="003A0FA7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edital.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5.3. O Ministério da Educação não se responsabilizará por</w:t>
      </w:r>
      <w:r w:rsidR="003A0FA7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inscrição via internet não recebida por quaisquer motivos de ordem</w:t>
      </w:r>
      <w:r w:rsidR="003A0FA7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técnica de computadores, falhas de comunicação, congestionamentos</w:t>
      </w:r>
      <w:r w:rsidR="003A0FA7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das linhas de comunicação, por procedimento indevido, bem como</w:t>
      </w:r>
      <w:r w:rsidR="003A0FA7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>por outros fatores que impossibilitem a transferência de dados, sendo</w:t>
      </w:r>
      <w:r w:rsidR="003A0FA7">
        <w:rPr>
          <w:rFonts w:ascii="Times New Roman" w:hAnsi="Times New Roman" w:cs="Times New Roman"/>
        </w:rPr>
        <w:t xml:space="preserve"> </w:t>
      </w:r>
      <w:r w:rsidRPr="00F83DF0">
        <w:rPr>
          <w:rFonts w:ascii="Times New Roman" w:hAnsi="Times New Roman" w:cs="Times New Roman"/>
        </w:rPr>
        <w:t xml:space="preserve">de responsabilidade </w:t>
      </w:r>
      <w:proofErr w:type="gramStart"/>
      <w:r w:rsidRPr="00F83DF0">
        <w:rPr>
          <w:rFonts w:ascii="Times New Roman" w:hAnsi="Times New Roman" w:cs="Times New Roman"/>
        </w:rPr>
        <w:t>do candidato acompanhar</w:t>
      </w:r>
      <w:proofErr w:type="gramEnd"/>
      <w:r w:rsidRPr="00F83DF0">
        <w:rPr>
          <w:rFonts w:ascii="Times New Roman" w:hAnsi="Times New Roman" w:cs="Times New Roman"/>
        </w:rPr>
        <w:t xml:space="preserve"> a situação de sua inscrição.</w:t>
      </w:r>
    </w:p>
    <w:p w:rsidR="00327BC3" w:rsidRPr="00F83DF0" w:rsidRDefault="00327BC3" w:rsidP="00F83DF0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F83DF0">
        <w:rPr>
          <w:rFonts w:ascii="Times New Roman" w:hAnsi="Times New Roman" w:cs="Times New Roman"/>
        </w:rPr>
        <w:t>5.4. Este Edital entra em vigor na data de sua publicação.</w:t>
      </w:r>
    </w:p>
    <w:p w:rsidR="00327BC3" w:rsidRDefault="00327BC3" w:rsidP="003A0FA7">
      <w:pPr>
        <w:spacing w:after="0"/>
        <w:jc w:val="center"/>
        <w:rPr>
          <w:rFonts w:ascii="Times New Roman" w:hAnsi="Times New Roman" w:cs="Times New Roman"/>
          <w:b/>
        </w:rPr>
      </w:pPr>
      <w:r w:rsidRPr="003A0FA7">
        <w:rPr>
          <w:rFonts w:ascii="Times New Roman" w:hAnsi="Times New Roman" w:cs="Times New Roman"/>
          <w:b/>
        </w:rPr>
        <w:t>PAULO SPELLER</w:t>
      </w:r>
    </w:p>
    <w:p w:rsidR="009D617D" w:rsidRDefault="009D617D" w:rsidP="003A0FA7">
      <w:pPr>
        <w:spacing w:after="0"/>
        <w:jc w:val="center"/>
        <w:rPr>
          <w:rFonts w:ascii="Times New Roman" w:hAnsi="Times New Roman" w:cs="Times New Roman"/>
          <w:b/>
        </w:rPr>
      </w:pPr>
    </w:p>
    <w:p w:rsidR="009D617D" w:rsidRPr="00FE1E16" w:rsidRDefault="009D617D" w:rsidP="009D61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17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24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3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59/60</w:t>
      </w:r>
      <w:proofErr w:type="gramStart"/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9D617D" w:rsidRPr="003A0FA7" w:rsidRDefault="009D617D" w:rsidP="003A0FA7">
      <w:pPr>
        <w:spacing w:after="0"/>
        <w:jc w:val="center"/>
        <w:rPr>
          <w:rFonts w:ascii="Times New Roman" w:hAnsi="Times New Roman" w:cs="Times New Roman"/>
          <w:b/>
        </w:rPr>
      </w:pPr>
    </w:p>
    <w:sectPr w:rsidR="009D617D" w:rsidRPr="003A0FA7" w:rsidSect="00F83DF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C3"/>
    <w:rsid w:val="00032AAB"/>
    <w:rsid w:val="002341DB"/>
    <w:rsid w:val="002E69FE"/>
    <w:rsid w:val="00327BC3"/>
    <w:rsid w:val="003A0FA7"/>
    <w:rsid w:val="009D617D"/>
    <w:rsid w:val="00A57D0F"/>
    <w:rsid w:val="00AA6970"/>
    <w:rsid w:val="00C54E4A"/>
    <w:rsid w:val="00F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1992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2</cp:revision>
  <dcterms:created xsi:type="dcterms:W3CDTF">2014-01-24T11:04:00Z</dcterms:created>
  <dcterms:modified xsi:type="dcterms:W3CDTF">2014-01-24T11:04:00Z</dcterms:modified>
</cp:coreProperties>
</file>