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Default="00B37108" w:rsidP="00E6605D">
      <w:pPr>
        <w:spacing w:line="240" w:lineRule="auto"/>
      </w:pPr>
    </w:p>
    <w:p w:rsidR="00E6605D" w:rsidRDefault="00E6605D" w:rsidP="001E175F">
      <w:pPr>
        <w:spacing w:line="240" w:lineRule="auto"/>
        <w:jc w:val="left"/>
      </w:pPr>
    </w:p>
    <w:p w:rsidR="00126436" w:rsidRPr="00C805B9" w:rsidRDefault="00126436" w:rsidP="006C0FC2">
      <w:pPr>
        <w:pStyle w:val="Ttulo1"/>
      </w:pPr>
      <w:r w:rsidRPr="00C805B9">
        <w:t>MINISTÉRIO DA EDUCAÇÃO</w:t>
      </w:r>
    </w:p>
    <w:p w:rsidR="00126436" w:rsidRPr="00C805B9" w:rsidRDefault="00126436" w:rsidP="006C0FC2">
      <w:pPr>
        <w:pStyle w:val="Ttulo1"/>
      </w:pPr>
      <w:r w:rsidRPr="00C805B9">
        <w:t>FUNDO NACIONAL DE DESENVOLVIMENTO DA EDUCAÇÃO</w:t>
      </w:r>
    </w:p>
    <w:p w:rsidR="00126436" w:rsidRPr="00C805B9" w:rsidRDefault="00126436" w:rsidP="006C0FC2">
      <w:pPr>
        <w:pStyle w:val="Ttulo1"/>
      </w:pPr>
      <w:r w:rsidRPr="00C805B9">
        <w:t>PORTARIA N</w:t>
      </w:r>
      <w:r>
        <w:t>º</w:t>
      </w:r>
      <w:r w:rsidRPr="00C805B9">
        <w:t xml:space="preserve"> 365, DE 28 DE AGOSTO DE </w:t>
      </w:r>
      <w:proofErr w:type="gramStart"/>
      <w:r w:rsidRPr="00C805B9">
        <w:t>2014</w:t>
      </w:r>
      <w:proofErr w:type="gramEnd"/>
    </w:p>
    <w:p w:rsidR="00126436" w:rsidRDefault="00126436" w:rsidP="006C0FC2">
      <w:pPr>
        <w:pStyle w:val="06-Ementa"/>
      </w:pPr>
      <w:r w:rsidRPr="00C805B9">
        <w:t>Dispõe sobre os prazos para a realização de aditamentos de contratos de financiamento concedidos com recursos do</w:t>
      </w:r>
      <w:r>
        <w:t xml:space="preserve"> </w:t>
      </w:r>
      <w:r w:rsidRPr="00C805B9">
        <w:t>Fundo de Financiamento Estudantil (Fies).</w:t>
      </w:r>
    </w:p>
    <w:p w:rsidR="00126436" w:rsidRPr="00C805B9" w:rsidRDefault="00126436" w:rsidP="006C0FC2">
      <w:pPr>
        <w:pStyle w:val="04-TextodeArtigoeIncisos"/>
      </w:pPr>
      <w:r w:rsidRPr="00C805B9">
        <w:t>O PRESIDENTE SUBSTITUTO DO FUNDO NACIONAL DE DESENVOLVIMENTO DA EDUCAÇÃO - FNDE, nomeado por</w:t>
      </w:r>
      <w:r>
        <w:t xml:space="preserve"> </w:t>
      </w:r>
      <w:r w:rsidRPr="00C805B9">
        <w:t>meio da Portaria nº 267, de 20 de março de 2014, publicada no DOU de 21 de março de 2014, e no uso das atribuições legais que lhe são</w:t>
      </w:r>
      <w:r>
        <w:t xml:space="preserve"> </w:t>
      </w:r>
      <w:r w:rsidRPr="00C805B9">
        <w:t xml:space="preserve">conferidas pelo art. 15 do Anexo I do Decreto nº 7.691, de </w:t>
      </w:r>
      <w:proofErr w:type="gramStart"/>
      <w:r w:rsidRPr="00C805B9">
        <w:t>2</w:t>
      </w:r>
      <w:proofErr w:type="gramEnd"/>
      <w:r w:rsidRPr="00C805B9">
        <w:t xml:space="preserve"> de março de 2012, publicado no DOU de 6 de março de 2012, e considerando</w:t>
      </w:r>
      <w:r>
        <w:t xml:space="preserve"> </w:t>
      </w:r>
      <w:r w:rsidRPr="00C805B9">
        <w:t>o disposto no art. 47 da Portaria Normativa MEC nº 15, de 8 de julho de 2011, no § 3º do art. 4º da Portaria Normativa MEC nº 19, de 31</w:t>
      </w:r>
      <w:r>
        <w:t xml:space="preserve"> </w:t>
      </w:r>
      <w:r w:rsidRPr="00C805B9">
        <w:t>de outubro de 2012, e no art. 7º da Portaria Normativa MEC nº 28, de 28 de dezembro de 2012, resolve:</w:t>
      </w:r>
    </w:p>
    <w:p w:rsidR="00126436" w:rsidRPr="00C805B9" w:rsidRDefault="00126436" w:rsidP="006C0FC2">
      <w:pPr>
        <w:pStyle w:val="04-TextodeArtigoeIncisos"/>
      </w:pPr>
      <w:r w:rsidRPr="00C805B9">
        <w:t>Art. 1º Estabelecer, na forma do anexo desta Portaria, os prazos a serem observados a partir de 1º de setembro de 2014 para a</w:t>
      </w:r>
      <w:r>
        <w:t xml:space="preserve"> </w:t>
      </w:r>
      <w:r w:rsidRPr="00C805B9">
        <w:t>solicitação no Sistema Informatizado do FIES (</w:t>
      </w:r>
      <w:proofErr w:type="spellStart"/>
      <w:proofErr w:type="gramStart"/>
      <w:r w:rsidRPr="00C805B9">
        <w:t>SisFIES</w:t>
      </w:r>
      <w:proofErr w:type="spellEnd"/>
      <w:proofErr w:type="gramEnd"/>
      <w:r w:rsidRPr="00C805B9">
        <w:t>) dos aditamentos dos contratos de financiamento do FIES, referentes aos 1º e 2º</w:t>
      </w:r>
      <w:r>
        <w:t xml:space="preserve"> </w:t>
      </w:r>
      <w:r w:rsidRPr="00C805B9">
        <w:t>semestres de 2013 e ao 1º semestre de 2014.</w:t>
      </w:r>
    </w:p>
    <w:p w:rsidR="00126436" w:rsidRPr="00C805B9" w:rsidRDefault="00126436" w:rsidP="006C0FC2">
      <w:pPr>
        <w:pStyle w:val="04-TextodeArtigoeIncisos"/>
      </w:pPr>
      <w:r w:rsidRPr="00C805B9">
        <w:t>Art. 2º Os impedimentos à realização dos aditamentos de que trata esta Portaria, decorrentes de óbices operacionais não motivados pelo</w:t>
      </w:r>
      <w:r>
        <w:t xml:space="preserve"> </w:t>
      </w:r>
      <w:r w:rsidRPr="00C805B9">
        <w:t>estudante financiado, serão avaliados por este agente operador do FIES, nos termos do art. 25 da Portaria Normativa MEC nº 1, de 22 de janeiro</w:t>
      </w:r>
      <w:r>
        <w:t xml:space="preserve"> </w:t>
      </w:r>
      <w:r w:rsidRPr="00C805B9">
        <w:t>de 2010.</w:t>
      </w:r>
    </w:p>
    <w:p w:rsidR="00126436" w:rsidRPr="00C805B9" w:rsidRDefault="00126436" w:rsidP="006C0FC2">
      <w:pPr>
        <w:pStyle w:val="04-TextodeArtigoeIncisos"/>
      </w:pPr>
      <w:r w:rsidRPr="00C805B9">
        <w:t>Art. 3º Esta Portaria entra em vigor na data de sua publicação.</w:t>
      </w:r>
    </w:p>
    <w:p w:rsidR="00126436" w:rsidRDefault="00126436" w:rsidP="006C0FC2">
      <w:pPr>
        <w:pStyle w:val="07-AssinaturaeDOU"/>
      </w:pPr>
      <w:r w:rsidRPr="00C805B9">
        <w:t>LEONARDO MILHOMEM REZENDE</w:t>
      </w:r>
    </w:p>
    <w:p w:rsidR="00126436" w:rsidRPr="006C0FC2" w:rsidRDefault="00126436" w:rsidP="006C0FC2">
      <w:pPr>
        <w:pStyle w:val="Ttulo2"/>
        <w:rPr>
          <w:b/>
        </w:rPr>
      </w:pPr>
      <w:r w:rsidRPr="006C0FC2">
        <w:rPr>
          <w:b/>
        </w:rPr>
        <w:t>ANEXO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316"/>
        <w:gridCol w:w="1236"/>
        <w:gridCol w:w="1523"/>
      </w:tblGrid>
      <w:tr w:rsidR="00126436" w:rsidRPr="00C805B9" w:rsidTr="00400B51">
        <w:tc>
          <w:tcPr>
            <w:tcW w:w="2268" w:type="dxa"/>
            <w:vMerge w:val="restart"/>
          </w:tcPr>
          <w:p w:rsidR="00126436" w:rsidRPr="00C805B9" w:rsidRDefault="00126436" w:rsidP="00400B51">
            <w:pPr>
              <w:rPr>
                <w:rFonts w:cs="Times New Roman"/>
                <w:sz w:val="20"/>
              </w:rPr>
            </w:pPr>
            <w:r w:rsidRPr="00C805B9">
              <w:rPr>
                <w:rFonts w:cs="Times New Roman"/>
                <w:sz w:val="20"/>
              </w:rPr>
              <w:t>Semestre de Referência</w:t>
            </w:r>
          </w:p>
        </w:tc>
        <w:tc>
          <w:tcPr>
            <w:tcW w:w="6910" w:type="dxa"/>
            <w:gridSpan w:val="5"/>
          </w:tcPr>
          <w:p w:rsidR="00126436" w:rsidRPr="00C805B9" w:rsidRDefault="00126436" w:rsidP="00400B51">
            <w:pPr>
              <w:jc w:val="center"/>
              <w:rPr>
                <w:rFonts w:cs="Times New Roman"/>
                <w:sz w:val="20"/>
              </w:rPr>
            </w:pPr>
            <w:r w:rsidRPr="00C805B9">
              <w:rPr>
                <w:rFonts w:cs="Times New Roman"/>
                <w:sz w:val="20"/>
              </w:rPr>
              <w:t>Prazo Para Solicitação dos Aditamentos</w:t>
            </w:r>
          </w:p>
        </w:tc>
      </w:tr>
      <w:tr w:rsidR="00126436" w:rsidRPr="00C805B9" w:rsidTr="00400B51">
        <w:tc>
          <w:tcPr>
            <w:tcW w:w="2268" w:type="dxa"/>
            <w:vMerge/>
          </w:tcPr>
          <w:p w:rsidR="00126436" w:rsidRPr="00C805B9" w:rsidRDefault="00126436" w:rsidP="00400B51">
            <w:pPr>
              <w:rPr>
                <w:rFonts w:cs="Times New Roman"/>
                <w:sz w:val="20"/>
              </w:rPr>
            </w:pPr>
          </w:p>
        </w:tc>
        <w:tc>
          <w:tcPr>
            <w:tcW w:w="1276" w:type="dxa"/>
          </w:tcPr>
          <w:p w:rsidR="00126436" w:rsidRPr="00C805B9" w:rsidRDefault="00126436" w:rsidP="00400B51">
            <w:pPr>
              <w:jc w:val="center"/>
              <w:rPr>
                <w:rFonts w:cs="Times New Roman"/>
                <w:sz w:val="20"/>
              </w:rPr>
            </w:pPr>
            <w:r w:rsidRPr="00C805B9">
              <w:rPr>
                <w:rFonts w:cs="Times New Roman"/>
                <w:sz w:val="20"/>
              </w:rPr>
              <w:t>Renovação</w:t>
            </w:r>
          </w:p>
        </w:tc>
        <w:tc>
          <w:tcPr>
            <w:tcW w:w="1559" w:type="dxa"/>
          </w:tcPr>
          <w:p w:rsidR="00126436" w:rsidRPr="00C805B9" w:rsidRDefault="00126436" w:rsidP="00400B51">
            <w:pPr>
              <w:jc w:val="center"/>
              <w:rPr>
                <w:rFonts w:cs="Times New Roman"/>
                <w:sz w:val="20"/>
              </w:rPr>
            </w:pPr>
            <w:r w:rsidRPr="00C805B9">
              <w:rPr>
                <w:rFonts w:cs="Times New Roman"/>
                <w:sz w:val="20"/>
              </w:rPr>
              <w:t>Suspensão</w:t>
            </w:r>
          </w:p>
        </w:tc>
        <w:tc>
          <w:tcPr>
            <w:tcW w:w="1316" w:type="dxa"/>
          </w:tcPr>
          <w:p w:rsidR="00126436" w:rsidRPr="00C805B9" w:rsidRDefault="00126436" w:rsidP="00400B51">
            <w:pPr>
              <w:jc w:val="center"/>
              <w:rPr>
                <w:rFonts w:cs="Times New Roman"/>
                <w:sz w:val="20"/>
              </w:rPr>
            </w:pPr>
            <w:r w:rsidRPr="00C805B9">
              <w:rPr>
                <w:rFonts w:cs="Times New Roman"/>
                <w:sz w:val="20"/>
              </w:rPr>
              <w:t>Transferência</w:t>
            </w:r>
          </w:p>
        </w:tc>
        <w:tc>
          <w:tcPr>
            <w:tcW w:w="1236" w:type="dxa"/>
          </w:tcPr>
          <w:p w:rsidR="00126436" w:rsidRPr="00C805B9" w:rsidRDefault="00126436" w:rsidP="00400B51">
            <w:pPr>
              <w:jc w:val="center"/>
              <w:rPr>
                <w:rFonts w:cs="Times New Roman"/>
                <w:sz w:val="20"/>
              </w:rPr>
            </w:pPr>
            <w:r w:rsidRPr="00C805B9">
              <w:rPr>
                <w:rFonts w:cs="Times New Roman"/>
                <w:sz w:val="20"/>
              </w:rPr>
              <w:t>Dilatação</w:t>
            </w:r>
          </w:p>
        </w:tc>
        <w:tc>
          <w:tcPr>
            <w:tcW w:w="1523" w:type="dxa"/>
          </w:tcPr>
          <w:p w:rsidR="00126436" w:rsidRPr="00C805B9" w:rsidRDefault="00126436" w:rsidP="00400B51">
            <w:pPr>
              <w:jc w:val="center"/>
              <w:rPr>
                <w:rFonts w:cs="Times New Roman"/>
                <w:sz w:val="20"/>
              </w:rPr>
            </w:pPr>
            <w:r w:rsidRPr="00C805B9">
              <w:rPr>
                <w:rFonts w:cs="Times New Roman"/>
                <w:sz w:val="20"/>
              </w:rPr>
              <w:t>Encerramento</w:t>
            </w:r>
          </w:p>
        </w:tc>
      </w:tr>
      <w:tr w:rsidR="00126436" w:rsidRPr="00C805B9" w:rsidTr="00400B51">
        <w:tc>
          <w:tcPr>
            <w:tcW w:w="2268" w:type="dxa"/>
          </w:tcPr>
          <w:p w:rsidR="00126436" w:rsidRPr="00C805B9" w:rsidRDefault="00126436" w:rsidP="00400B51">
            <w:pPr>
              <w:rPr>
                <w:rFonts w:cs="Times New Roman"/>
                <w:sz w:val="20"/>
              </w:rPr>
            </w:pPr>
            <w:r w:rsidRPr="00C805B9">
              <w:rPr>
                <w:rFonts w:cs="Times New Roman"/>
                <w:sz w:val="20"/>
              </w:rPr>
              <w:t>1º de 2013 ao 1º de 2014</w:t>
            </w:r>
          </w:p>
        </w:tc>
        <w:tc>
          <w:tcPr>
            <w:tcW w:w="1276" w:type="dxa"/>
          </w:tcPr>
          <w:p w:rsidR="00126436" w:rsidRPr="00C805B9" w:rsidRDefault="00126436" w:rsidP="00400B51">
            <w:pPr>
              <w:jc w:val="center"/>
              <w:rPr>
                <w:rFonts w:cs="Times New Roman"/>
                <w:sz w:val="20"/>
              </w:rPr>
            </w:pPr>
            <w:r w:rsidRPr="00C805B9">
              <w:rPr>
                <w:rFonts w:cs="Times New Roman"/>
                <w:sz w:val="20"/>
              </w:rPr>
              <w:t>Até 30.9.14</w:t>
            </w:r>
          </w:p>
        </w:tc>
        <w:tc>
          <w:tcPr>
            <w:tcW w:w="1559" w:type="dxa"/>
          </w:tcPr>
          <w:p w:rsidR="00126436" w:rsidRPr="00C805B9" w:rsidRDefault="00126436" w:rsidP="00400B51">
            <w:pPr>
              <w:jc w:val="center"/>
              <w:rPr>
                <w:rFonts w:cs="Times New Roman"/>
                <w:sz w:val="20"/>
              </w:rPr>
            </w:pPr>
            <w:r w:rsidRPr="00C805B9">
              <w:rPr>
                <w:rFonts w:cs="Times New Roman"/>
                <w:sz w:val="20"/>
              </w:rPr>
              <w:t>Até 30.9.14 (*)</w:t>
            </w:r>
          </w:p>
        </w:tc>
        <w:tc>
          <w:tcPr>
            <w:tcW w:w="1316" w:type="dxa"/>
          </w:tcPr>
          <w:p w:rsidR="00126436" w:rsidRPr="00C805B9" w:rsidRDefault="00126436" w:rsidP="00400B51">
            <w:pPr>
              <w:jc w:val="center"/>
              <w:rPr>
                <w:rFonts w:cs="Times New Roman"/>
                <w:sz w:val="20"/>
              </w:rPr>
            </w:pPr>
            <w:r w:rsidRPr="003E55DF">
              <w:rPr>
                <w:rFonts w:cs="Times New Roman"/>
                <w:sz w:val="20"/>
              </w:rPr>
              <w:t>Até 30.9.14</w:t>
            </w:r>
          </w:p>
        </w:tc>
        <w:tc>
          <w:tcPr>
            <w:tcW w:w="1236" w:type="dxa"/>
          </w:tcPr>
          <w:p w:rsidR="00126436" w:rsidRPr="00C805B9" w:rsidRDefault="00126436" w:rsidP="00400B51">
            <w:pPr>
              <w:jc w:val="center"/>
              <w:rPr>
                <w:rFonts w:cs="Times New Roman"/>
                <w:sz w:val="20"/>
              </w:rPr>
            </w:pPr>
            <w:r w:rsidRPr="003E55DF">
              <w:rPr>
                <w:rFonts w:cs="Times New Roman"/>
                <w:sz w:val="20"/>
              </w:rPr>
              <w:t>Até 30.9.14</w:t>
            </w:r>
          </w:p>
        </w:tc>
        <w:tc>
          <w:tcPr>
            <w:tcW w:w="1523" w:type="dxa"/>
          </w:tcPr>
          <w:p w:rsidR="00126436" w:rsidRPr="00C805B9" w:rsidRDefault="00126436" w:rsidP="00400B51">
            <w:pPr>
              <w:jc w:val="center"/>
              <w:rPr>
                <w:rFonts w:cs="Times New Roman"/>
                <w:sz w:val="20"/>
              </w:rPr>
            </w:pPr>
            <w:r w:rsidRPr="003E55DF">
              <w:rPr>
                <w:rFonts w:cs="Times New Roman"/>
                <w:sz w:val="20"/>
              </w:rPr>
              <w:t>Até 30.9.14 (*)</w:t>
            </w:r>
          </w:p>
        </w:tc>
      </w:tr>
    </w:tbl>
    <w:p w:rsidR="00126436" w:rsidRPr="00C805B9" w:rsidRDefault="00126436" w:rsidP="006C0FC2">
      <w:pPr>
        <w:pStyle w:val="04-TextodeArtigoeIncisos"/>
        <w:ind w:firstLine="0"/>
      </w:pPr>
      <w:r w:rsidRPr="00C805B9">
        <w:t>(*) Autorizado somente para os semestres em que não houve a renovação do financiamento</w:t>
      </w:r>
    </w:p>
    <w:p w:rsidR="00126436" w:rsidRDefault="00126436" w:rsidP="006C0FC2">
      <w:pPr>
        <w:pStyle w:val="04-TextodeArtigoeIncisos"/>
        <w:ind w:firstLine="0"/>
      </w:pPr>
      <w:bookmarkStart w:id="0" w:name="_GoBack"/>
      <w:bookmarkEnd w:id="0"/>
    </w:p>
    <w:p w:rsidR="005C0F62" w:rsidRPr="006C0FC2" w:rsidRDefault="00126436" w:rsidP="006C0FC2">
      <w:pPr>
        <w:pStyle w:val="07-AssinaturaeDOU"/>
        <w:rPr>
          <w:i/>
        </w:rPr>
      </w:pPr>
      <w:r w:rsidRPr="006C0FC2">
        <w:rPr>
          <w:i/>
        </w:rPr>
        <w:t xml:space="preserve">(Publicação no DOU n.º 166, de 29.08.2014, Seção 1, página </w:t>
      </w:r>
      <w:proofErr w:type="gramStart"/>
      <w:r w:rsidRPr="006C0FC2">
        <w:rPr>
          <w:i/>
        </w:rPr>
        <w:t>17)</w:t>
      </w:r>
      <w:proofErr w:type="gramEnd"/>
    </w:p>
    <w:sectPr w:rsidR="005C0F62" w:rsidRPr="006C0FC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0FC2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6C0FC2">
              <w:rPr>
                <w:noProof/>
              </w:rPr>
              <w:t>1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ADA6757" wp14:editId="67BB53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6C0FC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74D8103" wp14:editId="635B2655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FC2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6C0FC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26436"/>
    <w:rsid w:val="001B2EAB"/>
    <w:rsid w:val="001C45ED"/>
    <w:rsid w:val="001E175F"/>
    <w:rsid w:val="002D5139"/>
    <w:rsid w:val="00312340"/>
    <w:rsid w:val="00333A6E"/>
    <w:rsid w:val="00413737"/>
    <w:rsid w:val="00420FED"/>
    <w:rsid w:val="00431464"/>
    <w:rsid w:val="0044243C"/>
    <w:rsid w:val="004572B6"/>
    <w:rsid w:val="005C0F62"/>
    <w:rsid w:val="0060436D"/>
    <w:rsid w:val="00613D95"/>
    <w:rsid w:val="0061434C"/>
    <w:rsid w:val="006C0FC2"/>
    <w:rsid w:val="00711485"/>
    <w:rsid w:val="0077690B"/>
    <w:rsid w:val="00800168"/>
    <w:rsid w:val="008102F4"/>
    <w:rsid w:val="00853518"/>
    <w:rsid w:val="008B271E"/>
    <w:rsid w:val="008F0C7F"/>
    <w:rsid w:val="00911912"/>
    <w:rsid w:val="009149E4"/>
    <w:rsid w:val="00971910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44976"/>
    <w:rsid w:val="00E6605D"/>
    <w:rsid w:val="00E84EB2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FDF8-EE4B-46DF-980A-A9783D7B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2014-08-29T17:25:00Z</dcterms:created>
  <dcterms:modified xsi:type="dcterms:W3CDTF">2014-08-29T17:27:00Z</dcterms:modified>
</cp:coreProperties>
</file>