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MINISTÉRIO DA EDUCAÇÃO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SECRETARIA DE REGULAÇÃO E SUPERVISÃO DA EDUCAÇÃO SUPERIOR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 xml:space="preserve">PORTARIA Nº 224, DE </w:t>
      </w:r>
      <w:proofErr w:type="gramStart"/>
      <w:r w:rsidRPr="00C66394">
        <w:rPr>
          <w:rFonts w:ascii="Times New Roman" w:hAnsi="Times New Roman" w:cs="Times New Roman"/>
          <w:b/>
        </w:rPr>
        <w:t>7</w:t>
      </w:r>
      <w:proofErr w:type="gramEnd"/>
      <w:r w:rsidRPr="00C66394">
        <w:rPr>
          <w:rFonts w:ascii="Times New Roman" w:hAnsi="Times New Roman" w:cs="Times New Roman"/>
          <w:b/>
        </w:rPr>
        <w:t xml:space="preserve"> DE ABRIL DE 2014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 xml:space="preserve">O SECRETÁRIO DE REGULAÇÃO E SUPERVISÃO DA EDUCAÇÃO SUPERIOR, no uso da atribuição que lhe confere o Decreto nº 7.690, de </w:t>
      </w:r>
      <w:proofErr w:type="gramStart"/>
      <w:r w:rsidRPr="00C66394">
        <w:rPr>
          <w:rFonts w:ascii="Times New Roman" w:hAnsi="Times New Roman" w:cs="Times New Roman"/>
        </w:rPr>
        <w:t>2</w:t>
      </w:r>
      <w:proofErr w:type="gramEnd"/>
      <w:r w:rsidRPr="00C66394">
        <w:rPr>
          <w:rFonts w:ascii="Times New Roman" w:hAnsi="Times New Roman" w:cs="Times New Roman"/>
        </w:rPr>
        <w:t xml:space="preserve"> de março de 2012, tendo em vista o Decreto nº 5.773,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 9 de maio de 2006, e suas alterações, a Portaria Normativa nº 40, de 12 de dezembro de 2007, republicada em 29 de dezembro de 2010, do Ministério da Educação, e considerando a Nota Técnica n° 932/2012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- DIREG/SERES/MEC, constante do Expediente MEC n° 078731.2012-11, resolve: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1º Ficam reconhecidos os cursos superiores de graduação constantes da tabela do Anexo desta Portaria, ministrados pelas Instituições de Educação Superior citadas, nos termos do disposto no artigo 10,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 xml:space="preserve">§7º, do Decreto nº 5.773, de </w:t>
      </w:r>
      <w:proofErr w:type="gramStart"/>
      <w:r w:rsidRPr="00C66394">
        <w:rPr>
          <w:rFonts w:ascii="Times New Roman" w:hAnsi="Times New Roman" w:cs="Times New Roman"/>
        </w:rPr>
        <w:t>9</w:t>
      </w:r>
      <w:proofErr w:type="gramEnd"/>
      <w:r w:rsidRPr="00C66394">
        <w:rPr>
          <w:rFonts w:ascii="Times New Roman" w:hAnsi="Times New Roman" w:cs="Times New Roman"/>
        </w:rPr>
        <w:t xml:space="preserve"> de maio de 2006, alterado pelo Decreto nº 6.303, de 12 de dezembro de 2007.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2° A Instituição de Educação Superior poderá, no prazo de 60 (sessenta) dias contados da presente publicação, embargar as informações referentes ao número de vagas, endereço de oferta, denominação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e grau do curso.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 xml:space="preserve">§ 1° O embargo citado no caput deverá ser realizado pela Instituição no ambiente do sistema </w:t>
      </w:r>
      <w:proofErr w:type="spellStart"/>
      <w:r w:rsidRPr="00C66394">
        <w:rPr>
          <w:rFonts w:ascii="Times New Roman" w:hAnsi="Times New Roman" w:cs="Times New Roman"/>
        </w:rPr>
        <w:t>e-MEC</w:t>
      </w:r>
      <w:proofErr w:type="spellEnd"/>
      <w:r w:rsidRPr="00C66394">
        <w:rPr>
          <w:rFonts w:ascii="Times New Roman" w:hAnsi="Times New Roman" w:cs="Times New Roman"/>
        </w:rPr>
        <w:t>, momento em que deverá ser apresentada justificativa que respalde a atualização cadastral solicitada.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§ 2° A Instituição poderá fazer uso da funcionalidade mencionada no caput para confirmar as informações referentes aos cursos reconhecidos por esta Portaria.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§ 3º A não manifestação da Instituição no prazo mencionado no caput implica a validação automática dos dados cadastrais dos cursos reconhecidos por esta Portaria.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 xml:space="preserve">§ 4º O embargo citado no caput tem por finalidade promover atualização dos dados do Cadastro </w:t>
      </w:r>
      <w:proofErr w:type="spellStart"/>
      <w:r w:rsidRPr="00C66394">
        <w:rPr>
          <w:rFonts w:ascii="Times New Roman" w:hAnsi="Times New Roman" w:cs="Times New Roman"/>
        </w:rPr>
        <w:t>e-MEC</w:t>
      </w:r>
      <w:proofErr w:type="spellEnd"/>
      <w:r w:rsidRPr="00C66394">
        <w:rPr>
          <w:rFonts w:ascii="Times New Roman" w:hAnsi="Times New Roman" w:cs="Times New Roman"/>
        </w:rPr>
        <w:t xml:space="preserve"> de Cursos e Instituições de Educação Superior, não se confundindo com recurso administrativo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eventualmente interposto contra as decisões exaradas pela presente Portaria.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3° O reconhecimento dos cursos constantes do Anexo desta Portaria é válido para todos os fins de direito.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4º Esta Portaria entra em vigor na data de sua publicação.</w:t>
      </w:r>
    </w:p>
    <w:p w:rsid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JORGE RODRIGO ARAÚJO MESSIAS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ANEXO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4822C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lastRenderedPageBreak/>
        <w:t>(Reconhecimento de Cursos)</w:t>
      </w:r>
    </w:p>
    <w:p w:rsidR="00C6639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9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  <w:b/>
          <w:i/>
        </w:rPr>
      </w:pPr>
      <w:r w:rsidRPr="00C66394">
        <w:rPr>
          <w:rFonts w:ascii="Times New Roman" w:hAnsi="Times New Roman" w:cs="Times New Roman"/>
          <w:b/>
          <w:i/>
        </w:rPr>
        <w:t>OBS.: O anexo desta portaria encontra-se no DOU informado abaixo e em PDF anexo.</w:t>
      </w:r>
    </w:p>
    <w:p w:rsidR="00C6639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94" w:rsidRPr="00C66394" w:rsidRDefault="00C66394" w:rsidP="00C663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6394">
        <w:rPr>
          <w:rFonts w:ascii="Times New Roman" w:hAnsi="Times New Roman" w:cs="Times New Roman"/>
          <w:b/>
          <w:i/>
        </w:rPr>
        <w:t xml:space="preserve">(Publicação no DOU n.º 67, de 08.04.2014, Seção 1, página </w:t>
      </w:r>
      <w:proofErr w:type="gramStart"/>
      <w:r w:rsidRPr="00C66394">
        <w:rPr>
          <w:rFonts w:ascii="Times New Roman" w:hAnsi="Times New Roman" w:cs="Times New Roman"/>
          <w:b/>
          <w:i/>
        </w:rPr>
        <w:t>10)</w:t>
      </w:r>
      <w:proofErr w:type="gramEnd"/>
    </w:p>
    <w:p w:rsidR="00C6639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Entidades de Fiscalização do Exercício</w:t>
      </w:r>
    </w:p>
    <w:p w:rsid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proofErr w:type="gramStart"/>
      <w:r w:rsidRPr="00C66394">
        <w:rPr>
          <w:rFonts w:ascii="Times New Roman" w:hAnsi="Times New Roman" w:cs="Times New Roman"/>
          <w:b/>
        </w:rPr>
        <w:t>das</w:t>
      </w:r>
      <w:proofErr w:type="gramEnd"/>
      <w:r w:rsidRPr="00C66394">
        <w:rPr>
          <w:rFonts w:ascii="Times New Roman" w:hAnsi="Times New Roman" w:cs="Times New Roman"/>
          <w:b/>
        </w:rPr>
        <w:t xml:space="preserve"> Profissões Liberais</w:t>
      </w:r>
    </w:p>
    <w:p w:rsid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CONSELHO FEDERAL DE MEDICINA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 xml:space="preserve">RESOLUÇÃO Nº 2.072, DE 27 DE MARÇO DE </w:t>
      </w:r>
      <w:proofErr w:type="gramStart"/>
      <w:r w:rsidRPr="00C66394">
        <w:rPr>
          <w:rFonts w:ascii="Times New Roman" w:hAnsi="Times New Roman" w:cs="Times New Roman"/>
          <w:b/>
        </w:rPr>
        <w:t>2014</w:t>
      </w:r>
      <w:proofErr w:type="gramEnd"/>
    </w:p>
    <w:p w:rsidR="00C66394" w:rsidRDefault="00C66394" w:rsidP="00C6639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66394" w:rsidRDefault="00C66394" w:rsidP="00C6639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Veda o trabalho, em hospitais, de médicos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sem inscrição no CRM da respectiva circunscrição.</w:t>
      </w:r>
    </w:p>
    <w:p w:rsidR="00C66394" w:rsidRPr="00C66394" w:rsidRDefault="00C66394" w:rsidP="00C66394">
      <w:pPr>
        <w:spacing w:after="0" w:line="240" w:lineRule="auto"/>
        <w:ind w:left="4536"/>
        <w:jc w:val="both"/>
        <w:rPr>
          <w:rFonts w:ascii="Times New Roman" w:hAnsi="Times New Roman" w:cs="Times New Roman"/>
        </w:rPr>
      </w:pP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O CONSELHO FEDERAL DE MEDICINA, no uso das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atribuições que lhe são conferidas pela Lei nº 3.268, de 30 de setembro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 1957, regulamentada pelo Decreto nº 44.045, de 19 de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julho de 1958, alterado pelo Decreto nº 6.391, de 19 de julho de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 xml:space="preserve">2009, e pela Lei 11.000, de 15 de dezembro de 2004, </w:t>
      </w:r>
      <w:proofErr w:type="gramStart"/>
      <w:r w:rsidRPr="00C66394">
        <w:rPr>
          <w:rFonts w:ascii="Times New Roman" w:hAnsi="Times New Roman" w:cs="Times New Roman"/>
        </w:rPr>
        <w:t>e</w:t>
      </w:r>
      <w:proofErr w:type="gramEnd"/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CONSIDERANDO a Lei nº 12.871, de 22 de outubro de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 xml:space="preserve">2013, que instituiu </w:t>
      </w:r>
      <w:proofErr w:type="gramStart"/>
      <w:r w:rsidRPr="00C66394">
        <w:rPr>
          <w:rFonts w:ascii="Times New Roman" w:hAnsi="Times New Roman" w:cs="Times New Roman"/>
        </w:rPr>
        <w:t>o Programa Mais Médicos</w:t>
      </w:r>
      <w:proofErr w:type="gramEnd"/>
      <w:r w:rsidRPr="00C66394">
        <w:rPr>
          <w:rFonts w:ascii="Times New Roman" w:hAnsi="Times New Roman" w:cs="Times New Roman"/>
        </w:rPr>
        <w:t>, e o Decreto nº 8.126,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 xml:space="preserve">de 22 de outubro de 2013, que dispõe sobre os médicos </w:t>
      </w:r>
      <w:proofErr w:type="spellStart"/>
      <w:r w:rsidRPr="00C66394">
        <w:rPr>
          <w:rFonts w:ascii="Times New Roman" w:hAnsi="Times New Roman" w:cs="Times New Roman"/>
        </w:rPr>
        <w:t>intercambistas</w:t>
      </w:r>
      <w:proofErr w:type="spellEnd"/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participantes do Projeto Mais Médicos e médicos estrangeiros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cursando pós-graduação no país, que vedam, por parte desses médicos,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o exercício da Medicina fora das atividades do Projeto;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CONSIDERANDO a Resolução CFM nº 1.342, de 16 de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abril de 1991, que dispõe sobre as atribuições dos diretores técnicos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e clínicos;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 xml:space="preserve">CONSIDERANDO a Resolução CFM nº 1.627, de </w:t>
      </w:r>
      <w:proofErr w:type="gramStart"/>
      <w:r w:rsidRPr="00C66394">
        <w:rPr>
          <w:rFonts w:ascii="Times New Roman" w:hAnsi="Times New Roman" w:cs="Times New Roman"/>
        </w:rPr>
        <w:t>6</w:t>
      </w:r>
      <w:proofErr w:type="gramEnd"/>
      <w:r w:rsidRPr="00C66394">
        <w:rPr>
          <w:rFonts w:ascii="Times New Roman" w:hAnsi="Times New Roman" w:cs="Times New Roman"/>
        </w:rPr>
        <w:t xml:space="preserve"> de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junho de 2003, que dispõe sobre as Comissões de Ética dos estabelecimentos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 saúde; e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CONSIDERANDO o Código de Ética Médica, que em seu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art. 18 veda aos médicos desobedecer aos acórdãos e às resoluções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dos Conselhos Federal e Regionais de Medicina ou desrespeitá-los,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resolve: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1º A prestação de serviços médicos em hospitais 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demais instituições de saúde somente é permitida aos médicos que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possuam inscrição definitiva ou regular perante o competente Conselho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Regional de Medicina;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Parágrafo único. Aos diretores técnicos é vedado aceitar ou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permitir o ingresso nos corpos clínicos de quaisquer hospitais, públicos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ou privados, ainda que conveniados ao SUS - Sistema Único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 Saúde, a internação de pacientes sob a responsabilidade de profissionais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não inscritos nos Conselhos Regionais, nem mesmo nas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urgências e emergências.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2º É responsabilidade dos diretores técnicos das instituições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 xml:space="preserve">hospitalares </w:t>
      </w:r>
      <w:proofErr w:type="gramStart"/>
      <w:r w:rsidRPr="00C66394">
        <w:rPr>
          <w:rFonts w:ascii="Times New Roman" w:hAnsi="Times New Roman" w:cs="Times New Roman"/>
        </w:rPr>
        <w:t>zelar</w:t>
      </w:r>
      <w:proofErr w:type="gramEnd"/>
      <w:r w:rsidRPr="00C66394">
        <w:rPr>
          <w:rFonts w:ascii="Times New Roman" w:hAnsi="Times New Roman" w:cs="Times New Roman"/>
        </w:rPr>
        <w:t xml:space="preserve"> pelo cumprimento dessa determinação, que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decorre da lei vigente.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3º Os diretores clínicos e os integrantes das Comissões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 Ética das mesmas instituições devem denunciar ao Conselho Regional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 Medicina quaisquer fatos que impliquem descumprimento</w:t>
      </w:r>
      <w:r>
        <w:rPr>
          <w:rFonts w:ascii="Times New Roman" w:hAnsi="Times New Roman" w:cs="Times New Roman"/>
        </w:rPr>
        <w:t xml:space="preserve"> </w:t>
      </w:r>
      <w:r w:rsidRPr="00C66394">
        <w:rPr>
          <w:rFonts w:ascii="Times New Roman" w:hAnsi="Times New Roman" w:cs="Times New Roman"/>
        </w:rPr>
        <w:t>desta resolução.</w:t>
      </w:r>
    </w:p>
    <w:p w:rsidR="00C66394" w:rsidRPr="00C66394" w:rsidRDefault="00C66394" w:rsidP="00C66394">
      <w:pPr>
        <w:spacing w:after="0" w:line="240" w:lineRule="auto"/>
        <w:ind w:firstLine="1701"/>
        <w:jc w:val="both"/>
        <w:rPr>
          <w:rFonts w:ascii="Times New Roman" w:hAnsi="Times New Roman" w:cs="Times New Roman"/>
        </w:rPr>
      </w:pPr>
      <w:r w:rsidRPr="00C66394">
        <w:rPr>
          <w:rFonts w:ascii="Times New Roman" w:hAnsi="Times New Roman" w:cs="Times New Roman"/>
        </w:rPr>
        <w:t>Art. 4º Esta resolução entra em vigor na data de sua publicação.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ROBERTO LUIZ D'AVILA</w:t>
      </w: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Presidente do Conselho</w:t>
      </w:r>
    </w:p>
    <w:p w:rsid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66394" w:rsidRP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HENRIQUE BATISTA E SILVA</w:t>
      </w:r>
    </w:p>
    <w:p w:rsidR="00C66394" w:rsidRDefault="00C66394" w:rsidP="00C66394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C66394">
        <w:rPr>
          <w:rFonts w:ascii="Times New Roman" w:hAnsi="Times New Roman" w:cs="Times New Roman"/>
          <w:b/>
        </w:rPr>
        <w:t>Secretário-Geral</w:t>
      </w:r>
    </w:p>
    <w:p w:rsid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9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C66394" w:rsidRPr="00C66394" w:rsidRDefault="00C66394" w:rsidP="00C66394">
      <w:pPr>
        <w:spacing w:after="0" w:line="240" w:lineRule="auto"/>
        <w:jc w:val="right"/>
        <w:rPr>
          <w:rFonts w:ascii="Times New Roman" w:hAnsi="Times New Roman" w:cs="Times New Roman"/>
          <w:b/>
          <w:i/>
        </w:rPr>
      </w:pPr>
      <w:r w:rsidRPr="00C66394">
        <w:rPr>
          <w:rFonts w:ascii="Times New Roman" w:hAnsi="Times New Roman" w:cs="Times New Roman"/>
          <w:b/>
          <w:i/>
        </w:rPr>
        <w:t xml:space="preserve">(Publicação no DOU n.º 67, de 08.04.2014, Seção 1, página </w:t>
      </w:r>
      <w:proofErr w:type="gramStart"/>
      <w:r w:rsidRPr="00C66394">
        <w:rPr>
          <w:rFonts w:ascii="Times New Roman" w:hAnsi="Times New Roman" w:cs="Times New Roman"/>
          <w:b/>
          <w:i/>
        </w:rPr>
        <w:t>10</w:t>
      </w:r>
      <w:r>
        <w:rPr>
          <w:rFonts w:ascii="Times New Roman" w:hAnsi="Times New Roman" w:cs="Times New Roman"/>
          <w:b/>
          <w:i/>
        </w:rPr>
        <w:t>1</w:t>
      </w:r>
      <w:r w:rsidRPr="00C66394">
        <w:rPr>
          <w:rFonts w:ascii="Times New Roman" w:hAnsi="Times New Roman" w:cs="Times New Roman"/>
          <w:b/>
          <w:i/>
        </w:rPr>
        <w:t>)</w:t>
      </w:r>
      <w:proofErr w:type="gramEnd"/>
    </w:p>
    <w:p w:rsid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C66394" w:rsidRPr="00C66394" w:rsidRDefault="00C66394" w:rsidP="00C66394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C66394" w:rsidRPr="00C66394" w:rsidSect="00C66394">
      <w:footerReference w:type="default" r:id="rId7"/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6394" w:rsidRDefault="00C66394" w:rsidP="00C66394">
      <w:pPr>
        <w:spacing w:after="0" w:line="240" w:lineRule="auto"/>
      </w:pPr>
      <w:r>
        <w:separator/>
      </w:r>
    </w:p>
  </w:endnote>
  <w:endnote w:type="continuationSeparator" w:id="0">
    <w:p w:rsidR="00C66394" w:rsidRDefault="00C66394" w:rsidP="00C663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906868"/>
      <w:docPartObj>
        <w:docPartGallery w:val="Page Numbers (Bottom of Page)"/>
        <w:docPartUnique/>
      </w:docPartObj>
    </w:sdtPr>
    <w:sdtContent>
      <w:p w:rsidR="00C66394" w:rsidRDefault="00C66394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C66394" w:rsidRDefault="00C66394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6394" w:rsidRDefault="00C66394" w:rsidP="00C66394">
      <w:pPr>
        <w:spacing w:after="0" w:line="240" w:lineRule="auto"/>
      </w:pPr>
      <w:r>
        <w:separator/>
      </w:r>
    </w:p>
  </w:footnote>
  <w:footnote w:type="continuationSeparator" w:id="0">
    <w:p w:rsidR="00C66394" w:rsidRDefault="00C66394" w:rsidP="00C663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394"/>
    <w:rsid w:val="004822C4"/>
    <w:rsid w:val="00C66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94"/>
  </w:style>
  <w:style w:type="paragraph" w:styleId="Rodap">
    <w:name w:val="footer"/>
    <w:basedOn w:val="Normal"/>
    <w:link w:val="RodapChar"/>
    <w:uiPriority w:val="99"/>
    <w:unhideWhenUsed/>
    <w:rsid w:val="00C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39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C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66394"/>
  </w:style>
  <w:style w:type="paragraph" w:styleId="Rodap">
    <w:name w:val="footer"/>
    <w:basedOn w:val="Normal"/>
    <w:link w:val="RodapChar"/>
    <w:uiPriority w:val="99"/>
    <w:unhideWhenUsed/>
    <w:rsid w:val="00C6639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663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743</Words>
  <Characters>4016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 RAULINO</dc:creator>
  <cp:lastModifiedBy>DELL RAULINO</cp:lastModifiedBy>
  <cp:revision>1</cp:revision>
  <dcterms:created xsi:type="dcterms:W3CDTF">2014-04-08T09:44:00Z</dcterms:created>
  <dcterms:modified xsi:type="dcterms:W3CDTF">2014-04-08T09:55:00Z</dcterms:modified>
</cp:coreProperties>
</file>