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Default="00BA56F4" w:rsidP="00BA56F4">
      <w:pPr>
        <w:spacing w:line="240" w:lineRule="auto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i/>
          <w:iCs/>
          <w:noProof/>
          <w:sz w:val="20"/>
        </w:rPr>
        <w:drawing>
          <wp:anchor distT="0" distB="0" distL="114300" distR="114300" simplePos="0" relativeHeight="251657728" behindDoc="0" locked="0" layoutInCell="1" allowOverlap="1" wp14:anchorId="4EDAE45E" wp14:editId="3E77C51D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Default="00B37108" w:rsidP="00BA56F4">
      <w:pPr>
        <w:spacing w:line="240" w:lineRule="auto"/>
        <w:jc w:val="center"/>
        <w:rPr>
          <w:rFonts w:ascii="Verdana" w:hAnsi="Verdana"/>
          <w:b/>
          <w:bCs/>
          <w:sz w:val="20"/>
        </w:rPr>
      </w:pPr>
    </w:p>
    <w:p w:rsidR="00B37108" w:rsidRDefault="00B37108" w:rsidP="00BA56F4">
      <w:pPr>
        <w:spacing w:line="240" w:lineRule="auto"/>
        <w:jc w:val="center"/>
        <w:rPr>
          <w:rFonts w:ascii="Verdana" w:hAnsi="Verdana"/>
          <w:b/>
          <w:bCs/>
          <w:sz w:val="20"/>
        </w:rPr>
      </w:pPr>
    </w:p>
    <w:p w:rsidR="00B37108" w:rsidRDefault="00B37108" w:rsidP="00BA56F4">
      <w:pPr>
        <w:spacing w:line="240" w:lineRule="auto"/>
        <w:jc w:val="center"/>
        <w:rPr>
          <w:rFonts w:ascii="Verdana" w:hAnsi="Verdana"/>
          <w:b/>
          <w:bCs/>
          <w:sz w:val="20"/>
        </w:rPr>
      </w:pPr>
    </w:p>
    <w:p w:rsidR="00B37108" w:rsidRDefault="00B37108" w:rsidP="00BA56F4">
      <w:pPr>
        <w:spacing w:line="240" w:lineRule="auto"/>
        <w:jc w:val="center"/>
        <w:rPr>
          <w:rFonts w:ascii="Verdana" w:hAnsi="Verdana"/>
          <w:b/>
          <w:bCs/>
          <w:sz w:val="20"/>
        </w:rPr>
      </w:pPr>
    </w:p>
    <w:p w:rsidR="00B37108" w:rsidRDefault="00B37108" w:rsidP="00BA56F4">
      <w:pPr>
        <w:pStyle w:val="Ttulo"/>
        <w:ind w:firstLine="0"/>
        <w:rPr>
          <w:rFonts w:ascii="Verdana" w:hAnsi="Verdana"/>
          <w:sz w:val="20"/>
        </w:rPr>
      </w:pPr>
    </w:p>
    <w:p w:rsidR="00BA56F4" w:rsidRDefault="00BA56F4" w:rsidP="00BA56F4">
      <w:pPr>
        <w:pStyle w:val="Ttulo"/>
        <w:ind w:firstLine="0"/>
        <w:rPr>
          <w:rFonts w:ascii="Verdana" w:hAnsi="Verdana"/>
          <w:sz w:val="20"/>
        </w:rPr>
      </w:pPr>
      <w:bookmarkStart w:id="0" w:name="_GoBack"/>
      <w:bookmarkEnd w:id="0"/>
    </w:p>
    <w:p w:rsidR="00BA56F4" w:rsidRDefault="00BA56F4" w:rsidP="00BA56F4">
      <w:pPr>
        <w:pStyle w:val="Ttulo"/>
        <w:ind w:firstLine="0"/>
        <w:rPr>
          <w:rFonts w:ascii="Verdana" w:hAnsi="Verdana"/>
          <w:sz w:val="20"/>
        </w:rPr>
      </w:pPr>
    </w:p>
    <w:p w:rsidR="00BA56F4" w:rsidRDefault="00BA56F4" w:rsidP="00BA56F4">
      <w:pPr>
        <w:pStyle w:val="Ttulo"/>
        <w:ind w:firstLine="0"/>
        <w:rPr>
          <w:rFonts w:ascii="Verdana" w:hAnsi="Verdana"/>
          <w:sz w:val="20"/>
        </w:rPr>
      </w:pPr>
    </w:p>
    <w:p w:rsidR="00BA56F4" w:rsidRDefault="00BA56F4" w:rsidP="00BA56F4">
      <w:pPr>
        <w:pStyle w:val="Ttulo1"/>
      </w:pPr>
      <w:r>
        <w:t>MINISTÉRIO DA EDUCAÇÃO</w:t>
      </w:r>
    </w:p>
    <w:p w:rsidR="00BA56F4" w:rsidRDefault="00BA56F4" w:rsidP="00BA56F4">
      <w:pPr>
        <w:pStyle w:val="Ttulo1"/>
      </w:pPr>
      <w:r>
        <w:t>GABINETE DO MINISTRO</w:t>
      </w:r>
    </w:p>
    <w:p w:rsidR="00BA56F4" w:rsidRDefault="00BA56F4" w:rsidP="00BA56F4">
      <w:pPr>
        <w:pStyle w:val="Ttulo1"/>
      </w:pPr>
      <w:r>
        <w:t xml:space="preserve">PORTARIA NORMATIVA Nº 25, DE 25 DE NOVEMBRO DE </w:t>
      </w:r>
      <w:proofErr w:type="gramStart"/>
      <w:r>
        <w:t>2013</w:t>
      </w:r>
      <w:proofErr w:type="gramEnd"/>
    </w:p>
    <w:p w:rsidR="00BA56F4" w:rsidRDefault="00BA56F4" w:rsidP="00BA56F4">
      <w:pPr>
        <w:pStyle w:val="06-Ementa"/>
      </w:pPr>
      <w:r>
        <w:t>Institui o Sistema de Gestão do Programa Inglês sem Fronteiras (</w:t>
      </w:r>
      <w:proofErr w:type="spellStart"/>
      <w:proofErr w:type="gramStart"/>
      <w:r>
        <w:t>IsFgestão</w:t>
      </w:r>
      <w:proofErr w:type="spellEnd"/>
      <w:proofErr w:type="gramEnd"/>
      <w:r>
        <w:t>).</w:t>
      </w:r>
    </w:p>
    <w:p w:rsidR="00BA56F4" w:rsidRDefault="00BA56F4" w:rsidP="00BA56F4">
      <w:pPr>
        <w:pStyle w:val="04-TextodeArtigoeIncisos"/>
      </w:pPr>
      <w:r>
        <w:t>O MINISTRO DE ESTADO DA EDUCAÇÃO, no uso das atribuições que lhe foram conferidas pelos incisos I e IV do parágrafo único do art. 87 da Constituição, e tendo em vista o art. 5º da Portaria MEC nº 1.466, de 18 de dezembro de 2012, que instituiu o Programa Inglês sem Fronteiras, resolve:</w:t>
      </w:r>
    </w:p>
    <w:p w:rsidR="00BA56F4" w:rsidRDefault="00BA56F4" w:rsidP="00BA56F4">
      <w:pPr>
        <w:pStyle w:val="Ttulo2"/>
      </w:pPr>
      <w:r>
        <w:t>CAPÍTULO I</w:t>
      </w:r>
    </w:p>
    <w:p w:rsidR="00BA56F4" w:rsidRDefault="00BA56F4" w:rsidP="00BA56F4">
      <w:pPr>
        <w:pStyle w:val="Ttulo2"/>
      </w:pPr>
      <w:r>
        <w:t>DAS DISPOSIÇÕES GERAIS</w:t>
      </w:r>
    </w:p>
    <w:p w:rsidR="00BA56F4" w:rsidRDefault="00BA56F4" w:rsidP="00BA56F4">
      <w:pPr>
        <w:pStyle w:val="04-TextodeArtigoeIncisos"/>
      </w:pPr>
      <w:r>
        <w:t>Art. 1º Fica instituído o Sistema de Gestão do Programa Inglês sem Fronteiras (</w:t>
      </w:r>
      <w:proofErr w:type="spellStart"/>
      <w:proofErr w:type="gramStart"/>
      <w:r>
        <w:t>IsFgestão</w:t>
      </w:r>
      <w:proofErr w:type="spellEnd"/>
      <w:proofErr w:type="gramEnd"/>
      <w:r>
        <w:t>), sistema informatizado gerenciado pela Secretaria de Educação Superior do Ministério da Educação, por meio do qual são selecionados candidatos a vagas em cursos presenciais de línguas, bem como em aplicações de exames de nivelamento ou proficiência linguística disponibilizadas pelas instituições de educação superior (IES) credenciadas como Núcleos de Línguas (</w:t>
      </w:r>
      <w:proofErr w:type="spellStart"/>
      <w:r>
        <w:t>NucLi</w:t>
      </w:r>
      <w:proofErr w:type="spellEnd"/>
      <w:r>
        <w:t>) ou como Centros Aplicadores (CA).</w:t>
      </w:r>
    </w:p>
    <w:p w:rsidR="00BA56F4" w:rsidRDefault="00BA56F4" w:rsidP="00BA56F4">
      <w:pPr>
        <w:pStyle w:val="04-TextodeArtigoeIncisos"/>
      </w:pPr>
      <w:r>
        <w:t xml:space="preserve">§ 1º A seleção dos candidatos às vagas disponibilizadas pelas IES credenciadas como </w:t>
      </w:r>
      <w:proofErr w:type="spellStart"/>
      <w:proofErr w:type="gramStart"/>
      <w:r>
        <w:t>NucLi</w:t>
      </w:r>
      <w:proofErr w:type="spellEnd"/>
      <w:proofErr w:type="gramEnd"/>
      <w:r>
        <w:t xml:space="preserve"> e/ou CA de exames de nivelamento ou proficiência linguística será efetuada com base nas regras definidas nesta Portaria e em editais específicos.</w:t>
      </w:r>
    </w:p>
    <w:p w:rsidR="00BA56F4" w:rsidRDefault="00BA56F4" w:rsidP="00BA56F4">
      <w:pPr>
        <w:pStyle w:val="04-TextodeArtigoeIncisos"/>
      </w:pPr>
      <w:r>
        <w:t>§ 2º A Secretaria de Educação Superior dará publicidade, por meio de editais, ao cronograma e procedimentos relativos aos processos seletivos para ocupação de vagas dos cursos presenciais de língua inglesa de que trata o § 1º deste artigo e para exames de nivelamento e de proficiência linguística.</w:t>
      </w:r>
    </w:p>
    <w:p w:rsidR="00BA56F4" w:rsidRDefault="00BA56F4" w:rsidP="00BA56F4">
      <w:pPr>
        <w:pStyle w:val="04-TextodeArtigoeIncisos"/>
      </w:pPr>
      <w:r>
        <w:t>Art. 2º Os procedimentos operacionais referentes ao Programa Inglês sem Fronteiras (</w:t>
      </w:r>
      <w:proofErr w:type="spellStart"/>
      <w:proofErr w:type="gramStart"/>
      <w:r>
        <w:t>IsF</w:t>
      </w:r>
      <w:proofErr w:type="spellEnd"/>
      <w:proofErr w:type="gramEnd"/>
      <w:r>
        <w:t>) serão efetuados e poderão ser acompanhados exclusivamente por meio do próprio sistema e incluem:</w:t>
      </w:r>
    </w:p>
    <w:p w:rsidR="00BA56F4" w:rsidRDefault="00BA56F4" w:rsidP="00BA56F4">
      <w:pPr>
        <w:pStyle w:val="04-TextodeArtigoeIncisos"/>
      </w:pPr>
      <w:r>
        <w:t>I - oferta de vagas pelas instituições;</w:t>
      </w:r>
    </w:p>
    <w:p w:rsidR="00BA56F4" w:rsidRDefault="00BA56F4" w:rsidP="00BA56F4">
      <w:pPr>
        <w:pStyle w:val="04-TextodeArtigoeIncisos"/>
      </w:pPr>
      <w:r>
        <w:t>II - inscrição dos estudantes;</w:t>
      </w:r>
    </w:p>
    <w:p w:rsidR="00BA56F4" w:rsidRDefault="00BA56F4" w:rsidP="00BA56F4">
      <w:pPr>
        <w:pStyle w:val="04-TextodeArtigoeIncisos"/>
      </w:pPr>
      <w:r>
        <w:t xml:space="preserve">III - classificação e seleção dos estudantes nas chamadas regulares e na lista de espera; </w:t>
      </w:r>
      <w:proofErr w:type="gramStart"/>
      <w:r>
        <w:t>e</w:t>
      </w:r>
      <w:proofErr w:type="gramEnd"/>
    </w:p>
    <w:p w:rsidR="00BA56F4" w:rsidRDefault="00BA56F4" w:rsidP="00BA56F4">
      <w:pPr>
        <w:pStyle w:val="04-TextodeArtigoeIncisos"/>
      </w:pPr>
      <w:r>
        <w:t>IV - formação e ocupação das turmas.</w:t>
      </w:r>
    </w:p>
    <w:p w:rsidR="00BA56F4" w:rsidRDefault="00BA56F4" w:rsidP="00BA56F4">
      <w:pPr>
        <w:pStyle w:val="04-TextodeArtigoeIncisos"/>
      </w:pPr>
      <w:r>
        <w:lastRenderedPageBreak/>
        <w:t xml:space="preserve">Art. 3º O Programa </w:t>
      </w:r>
      <w:proofErr w:type="spellStart"/>
      <w:proofErr w:type="gramStart"/>
      <w:r>
        <w:t>IsF</w:t>
      </w:r>
      <w:proofErr w:type="spellEnd"/>
      <w:proofErr w:type="gramEnd"/>
      <w:r>
        <w:t xml:space="preserve"> e o sistema </w:t>
      </w:r>
      <w:proofErr w:type="spellStart"/>
      <w:r>
        <w:t>IsFgestão</w:t>
      </w:r>
      <w:proofErr w:type="spellEnd"/>
      <w:r>
        <w:t xml:space="preserve"> considerarão as informações constantes no cadastro de instituições e cursos superiores do Ministério da Educação e no cadastro de discentes conforme informado pela própria instituição.</w:t>
      </w:r>
    </w:p>
    <w:p w:rsidR="00BA56F4" w:rsidRDefault="00BA56F4" w:rsidP="00BA56F4">
      <w:pPr>
        <w:pStyle w:val="04-TextodeArtigoeIncisos"/>
      </w:pPr>
      <w:r>
        <w:t xml:space="preserve">Parágrafo único. A regularidade das informações constantes nos cadastros referidos no caput deste artigo deve ser assegurada pela IES credenciada como </w:t>
      </w:r>
      <w:proofErr w:type="spellStart"/>
      <w:proofErr w:type="gramStart"/>
      <w:r>
        <w:t>NucLi</w:t>
      </w:r>
      <w:proofErr w:type="spellEnd"/>
      <w:proofErr w:type="gramEnd"/>
      <w:r>
        <w:t xml:space="preserve"> e/ou como CA.</w:t>
      </w:r>
    </w:p>
    <w:p w:rsidR="00BA56F4" w:rsidRDefault="00BA56F4" w:rsidP="00BA56F4">
      <w:pPr>
        <w:pStyle w:val="Ttulo2"/>
      </w:pPr>
      <w:r>
        <w:t>CAPÍTULO II</w:t>
      </w:r>
    </w:p>
    <w:p w:rsidR="00BA56F4" w:rsidRDefault="00BA56F4" w:rsidP="00BA56F4">
      <w:pPr>
        <w:pStyle w:val="Ttulo2"/>
      </w:pPr>
      <w:r>
        <w:t>DA PARTICIPAÇÃO DAS INSTITUIÇÕES DE EDUCAÇÃO SUPERIOR</w:t>
      </w:r>
    </w:p>
    <w:p w:rsidR="00BA56F4" w:rsidRDefault="00BA56F4" w:rsidP="00BA56F4">
      <w:pPr>
        <w:pStyle w:val="04-TextodeArtigoeIncisos"/>
      </w:pPr>
      <w:r>
        <w:t xml:space="preserve">Art. 4º Somente podem participar das ações do Programa </w:t>
      </w:r>
      <w:proofErr w:type="spellStart"/>
      <w:proofErr w:type="gramStart"/>
      <w:r>
        <w:t>IsF</w:t>
      </w:r>
      <w:proofErr w:type="spellEnd"/>
      <w:proofErr w:type="gramEnd"/>
      <w:r>
        <w:t xml:space="preserve"> as IES credenciadas oficialmente como Núcleos de Línguas (</w:t>
      </w:r>
      <w:proofErr w:type="spellStart"/>
      <w:r>
        <w:t>NucLi</w:t>
      </w:r>
      <w:proofErr w:type="spellEnd"/>
      <w:r>
        <w:t>) e/ou Centros Aplicadores (CA) conforme processo específico de credenciamento.</w:t>
      </w:r>
    </w:p>
    <w:p w:rsidR="00BA56F4" w:rsidRDefault="00BA56F4" w:rsidP="00BA56F4">
      <w:pPr>
        <w:pStyle w:val="04-TextodeArtigoeIncisos"/>
      </w:pPr>
      <w:r>
        <w:t xml:space="preserve">Art. 5º Os Núcleos de Línguas do Programa </w:t>
      </w:r>
      <w:proofErr w:type="spellStart"/>
      <w:proofErr w:type="gramStart"/>
      <w:r>
        <w:t>IsF</w:t>
      </w:r>
      <w:proofErr w:type="spellEnd"/>
      <w:proofErr w:type="gramEnd"/>
      <w:r>
        <w:t xml:space="preserve"> têm como objetivo principal ofertar cursos presenciais de língua inglesa para alunos das IES credenciadas como </w:t>
      </w:r>
      <w:proofErr w:type="spellStart"/>
      <w:r>
        <w:t>NucLi</w:t>
      </w:r>
      <w:proofErr w:type="spellEnd"/>
      <w:r>
        <w:t xml:space="preserve">, com matrículas ativas e senhas válidas no Curso </w:t>
      </w:r>
      <w:proofErr w:type="spellStart"/>
      <w:r>
        <w:t>My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Online.</w:t>
      </w:r>
    </w:p>
    <w:p w:rsidR="00BA56F4" w:rsidRDefault="00BA56F4" w:rsidP="00BA56F4">
      <w:pPr>
        <w:pStyle w:val="04-TextodeArtigoeIncisos"/>
      </w:pPr>
      <w:r>
        <w:t xml:space="preserve">Art. 6º Os CA do Programa </w:t>
      </w:r>
      <w:proofErr w:type="spellStart"/>
      <w:proofErr w:type="gramStart"/>
      <w:r>
        <w:t>IsF</w:t>
      </w:r>
      <w:proofErr w:type="spellEnd"/>
      <w:proofErr w:type="gramEnd"/>
      <w:r>
        <w:t xml:space="preserve"> serão responsáveis pela aplicação de exames de nivelamento ou de proficiência para os candidatos com matrículas válidas em IES e que forem elegíveis ao Programa Ciência sem Fronteiras e aos programas de intercâmbio no exterior, ou para fins de diagnósticos institucionais, conforme definido em editais específicos.</w:t>
      </w:r>
    </w:p>
    <w:p w:rsidR="00BA56F4" w:rsidRDefault="00BA56F4" w:rsidP="00BA56F4">
      <w:pPr>
        <w:pStyle w:val="04-TextodeArtigoeIncisos"/>
      </w:pPr>
      <w:r>
        <w:t xml:space="preserve">Art. 7º A IES designará representante legal junto ao Programa </w:t>
      </w:r>
      <w:proofErr w:type="spellStart"/>
      <w:proofErr w:type="gramStart"/>
      <w:r>
        <w:t>IsF</w:t>
      </w:r>
      <w:proofErr w:type="spellEnd"/>
      <w:proofErr w:type="gramEnd"/>
      <w:r>
        <w:t>, o qual se incumbirá das seguintes tarefas:</w:t>
      </w:r>
    </w:p>
    <w:p w:rsidR="00BA56F4" w:rsidRDefault="00BA56F4" w:rsidP="00BA56F4">
      <w:pPr>
        <w:pStyle w:val="04-TextodeArtigoeIncisos"/>
      </w:pPr>
      <w:r>
        <w:t>I - articular com os diferentes setores internos das IES a aplicação de exames de línguas para atendimento aos editais;</w:t>
      </w:r>
    </w:p>
    <w:p w:rsidR="00BA56F4" w:rsidRDefault="00BA56F4" w:rsidP="00BA56F4">
      <w:pPr>
        <w:pStyle w:val="04-TextodeArtigoeIncisos"/>
      </w:pPr>
      <w:r>
        <w:t>II - inserir todas as informações requeridas pelo sistema;</w:t>
      </w:r>
    </w:p>
    <w:p w:rsidR="00BA56F4" w:rsidRDefault="00BA56F4" w:rsidP="00BA56F4">
      <w:pPr>
        <w:pStyle w:val="04-TextodeArtigoeIncisos"/>
      </w:pPr>
      <w:r>
        <w:t xml:space="preserve">III - executar todos os procedimentos referentes aos processos seletivos de competência da instituição; </w:t>
      </w:r>
      <w:proofErr w:type="gramStart"/>
      <w:r>
        <w:t>e</w:t>
      </w:r>
      <w:proofErr w:type="gramEnd"/>
    </w:p>
    <w:p w:rsidR="00BA56F4" w:rsidRDefault="00BA56F4" w:rsidP="00BA56F4">
      <w:pPr>
        <w:pStyle w:val="04-TextodeArtigoeIncisos"/>
      </w:pPr>
      <w:r>
        <w:t xml:space="preserve">IV - cumprir demais atribuições decorrentes de seu credenciamento como </w:t>
      </w:r>
      <w:proofErr w:type="spellStart"/>
      <w:proofErr w:type="gramStart"/>
      <w:r>
        <w:t>NucLi</w:t>
      </w:r>
      <w:proofErr w:type="spellEnd"/>
      <w:proofErr w:type="gramEnd"/>
      <w:r>
        <w:t xml:space="preserve"> e/ou como CA.</w:t>
      </w:r>
    </w:p>
    <w:p w:rsidR="00BA56F4" w:rsidRDefault="00BA56F4" w:rsidP="00BA56F4">
      <w:pPr>
        <w:pStyle w:val="04-TextodeArtigoeIncisos"/>
      </w:pPr>
      <w:r>
        <w:t xml:space="preserve">Art. 8º As IES credenciadas como </w:t>
      </w:r>
      <w:proofErr w:type="spellStart"/>
      <w:proofErr w:type="gramStart"/>
      <w:r>
        <w:t>NucLi</w:t>
      </w:r>
      <w:proofErr w:type="spellEnd"/>
      <w:proofErr w:type="gramEnd"/>
      <w:r>
        <w:t xml:space="preserve"> e/ou como CA deverão:</w:t>
      </w:r>
    </w:p>
    <w:p w:rsidR="00BA56F4" w:rsidRDefault="00BA56F4" w:rsidP="00BA56F4">
      <w:pPr>
        <w:pStyle w:val="04-TextodeArtigoeIncisos"/>
      </w:pPr>
      <w:r>
        <w:t xml:space="preserve">I - abster-se de cobrar quaisquer tipos de taxas referentes aos processos seletivos efetuados no âmbito do Programa </w:t>
      </w:r>
      <w:proofErr w:type="spellStart"/>
      <w:proofErr w:type="gramStart"/>
      <w:r>
        <w:t>IsF</w:t>
      </w:r>
      <w:proofErr w:type="spellEnd"/>
      <w:proofErr w:type="gramEnd"/>
      <w:r>
        <w:t>;</w:t>
      </w:r>
    </w:p>
    <w:p w:rsidR="00BA56F4" w:rsidRDefault="00BA56F4" w:rsidP="00BA56F4">
      <w:pPr>
        <w:pStyle w:val="04-TextodeArtigoeIncisos"/>
      </w:pPr>
      <w:r>
        <w:t xml:space="preserve">II - divulgar, em sua página eletrônica na internet e por outros meios institucionais disponíveis, informações complementares relativas à sua participação como </w:t>
      </w:r>
      <w:proofErr w:type="spellStart"/>
      <w:proofErr w:type="gramStart"/>
      <w:r>
        <w:t>NucLi</w:t>
      </w:r>
      <w:proofErr w:type="spellEnd"/>
      <w:proofErr w:type="gramEnd"/>
      <w:r>
        <w:t xml:space="preserve"> e/ou como CA; e</w:t>
      </w:r>
    </w:p>
    <w:p w:rsidR="00BA56F4" w:rsidRDefault="00BA56F4" w:rsidP="00BA56F4">
      <w:pPr>
        <w:pStyle w:val="04-TextodeArtigoeIncisos"/>
      </w:pPr>
      <w:r>
        <w:t xml:space="preserve">III - cumprir fielmente as normas que regulam o Programa </w:t>
      </w:r>
      <w:proofErr w:type="spellStart"/>
      <w:proofErr w:type="gramStart"/>
      <w:r>
        <w:t>IsF</w:t>
      </w:r>
      <w:proofErr w:type="spellEnd"/>
      <w:proofErr w:type="gramEnd"/>
      <w:r>
        <w:t xml:space="preserve">, nos termos definidos nas portarias que instituem e regulamentam o Programa </w:t>
      </w:r>
      <w:proofErr w:type="spellStart"/>
      <w:r>
        <w:t>IsF</w:t>
      </w:r>
      <w:proofErr w:type="spellEnd"/>
      <w:r>
        <w:t xml:space="preserve">, nos editais e em demais orientações emanadas da </w:t>
      </w:r>
      <w:proofErr w:type="spellStart"/>
      <w:r>
        <w:t>SESu</w:t>
      </w:r>
      <w:proofErr w:type="spellEnd"/>
      <w:r>
        <w:t>.</w:t>
      </w:r>
    </w:p>
    <w:p w:rsidR="00BA56F4" w:rsidRDefault="00BA56F4" w:rsidP="00BA56F4">
      <w:pPr>
        <w:pStyle w:val="Ttulo2"/>
      </w:pPr>
      <w:r>
        <w:lastRenderedPageBreak/>
        <w:t>CAPÍTULO III</w:t>
      </w:r>
    </w:p>
    <w:p w:rsidR="00BA56F4" w:rsidRDefault="00BA56F4" w:rsidP="00BA56F4">
      <w:pPr>
        <w:pStyle w:val="Ttulo2"/>
      </w:pPr>
      <w:r>
        <w:t xml:space="preserve">DA INSCRIÇÃO, SELEÇÃO E DA OCUPAÇÃO DAS VAGAS AOS CURSOS PRESENCIAIS DE LÍNGUAS OFERTADOS PELAS IES CREDENCIADAS COMO NÚCLEOS DE </w:t>
      </w:r>
      <w:proofErr w:type="gramStart"/>
      <w:r>
        <w:t>LÍNGUA</w:t>
      </w:r>
      <w:proofErr w:type="gramEnd"/>
    </w:p>
    <w:p w:rsidR="00BA56F4" w:rsidRDefault="00BA56F4" w:rsidP="00BA56F4">
      <w:pPr>
        <w:pStyle w:val="04-TextodeArtigoeIncisos"/>
      </w:pPr>
      <w:r>
        <w:t xml:space="preserve">Art. 9º Podem se candidatar a vagas nos cursos presenciais de línguas os alunos de instituições federais de educação superior credenciadas como </w:t>
      </w:r>
      <w:proofErr w:type="spellStart"/>
      <w:proofErr w:type="gramStart"/>
      <w:r>
        <w:t>NucLi</w:t>
      </w:r>
      <w:proofErr w:type="spellEnd"/>
      <w:proofErr w:type="gramEnd"/>
      <w:r>
        <w:t xml:space="preserve"> no âmbito do Programa </w:t>
      </w:r>
      <w:proofErr w:type="spellStart"/>
      <w:r>
        <w:t>IsF</w:t>
      </w:r>
      <w:proofErr w:type="spellEnd"/>
      <w:r>
        <w:t xml:space="preserve"> que atendam aos seguintes critérios mínimos, indicados nos editais de seleção:</w:t>
      </w:r>
    </w:p>
    <w:p w:rsidR="00BA56F4" w:rsidRDefault="00BA56F4" w:rsidP="00BA56F4">
      <w:pPr>
        <w:pStyle w:val="04-TextodeArtigoeIncisos"/>
      </w:pPr>
      <w:r>
        <w:t>I - possuir matrícula ativa e validada pela sua instituição;</w:t>
      </w:r>
    </w:p>
    <w:p w:rsidR="00BA56F4" w:rsidRDefault="00BA56F4" w:rsidP="00BA56F4">
      <w:pPr>
        <w:pStyle w:val="04-TextodeArtigoeIncisos"/>
      </w:pPr>
      <w:r>
        <w:t xml:space="preserve">II - possuir inscrição ativa no curso </w:t>
      </w:r>
      <w:proofErr w:type="spellStart"/>
      <w:r>
        <w:t>My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Online; </w:t>
      </w:r>
      <w:proofErr w:type="gramStart"/>
      <w:r>
        <w:t>e</w:t>
      </w:r>
      <w:proofErr w:type="gramEnd"/>
    </w:p>
    <w:p w:rsidR="00BA56F4" w:rsidRDefault="00BA56F4" w:rsidP="00BA56F4">
      <w:pPr>
        <w:pStyle w:val="04-TextodeArtigoeIncisos"/>
      </w:pPr>
      <w:r>
        <w:t>III - ter cursado até 90% do total de créditos de seu curso.</w:t>
      </w:r>
    </w:p>
    <w:p w:rsidR="00BA56F4" w:rsidRDefault="00BA56F4" w:rsidP="00BA56F4">
      <w:pPr>
        <w:pStyle w:val="04-TextodeArtigoeIncisos"/>
      </w:pPr>
      <w:r>
        <w:t>§ 1º Serão considerados inelegíveis à participação no programa:</w:t>
      </w:r>
    </w:p>
    <w:p w:rsidR="00BA56F4" w:rsidRDefault="00BA56F4" w:rsidP="00BA56F4">
      <w:pPr>
        <w:pStyle w:val="04-TextodeArtigoeIncisos"/>
      </w:pPr>
      <w:r>
        <w:t>I - alunos de graduação ou de pós-graduação de qualquer curso e em qualquer área que tenham concluído mais de 90% da carga horária total de seu curso;</w:t>
      </w:r>
    </w:p>
    <w:p w:rsidR="00BA56F4" w:rsidRDefault="00BA56F4" w:rsidP="00BA56F4">
      <w:pPr>
        <w:pStyle w:val="04-TextodeArtigoeIncisos"/>
      </w:pPr>
      <w:r>
        <w:t xml:space="preserve">II - alunos de cursos de extensão, em matrícula isolada ou de pós-graduação lato sensu, tipo MBA, especialização ou equivalentes; </w:t>
      </w:r>
      <w:proofErr w:type="gramStart"/>
      <w:r>
        <w:t>e</w:t>
      </w:r>
      <w:proofErr w:type="gramEnd"/>
    </w:p>
    <w:p w:rsidR="00BA56F4" w:rsidRDefault="00BA56F4" w:rsidP="00BA56F4">
      <w:pPr>
        <w:pStyle w:val="04-TextodeArtigoeIncisos"/>
      </w:pPr>
      <w:r>
        <w:t>III - alunos que não constem em base de dados informada pela universidade ao MEC ou que não sejam caracterizados como alunos regulares.</w:t>
      </w:r>
    </w:p>
    <w:p w:rsidR="00BA56F4" w:rsidRDefault="00BA56F4" w:rsidP="00BA56F4">
      <w:pPr>
        <w:pStyle w:val="04-TextodeArtigoeIncisos"/>
      </w:pPr>
      <w:r>
        <w:t>§ 2º O estudante que der motivo a cancelamento da inscrição poderá ser impedido de realizar nova inscrição ou de se aproveitar de critérios de preferência a que fizesse jus, conforme regras definidas nos editais.</w:t>
      </w:r>
    </w:p>
    <w:p w:rsidR="00BA56F4" w:rsidRDefault="00BA56F4" w:rsidP="00BA56F4">
      <w:pPr>
        <w:pStyle w:val="Ttulo2"/>
      </w:pPr>
      <w:r>
        <w:t>CAPÍTULO IV</w:t>
      </w:r>
    </w:p>
    <w:p w:rsidR="00BA56F4" w:rsidRDefault="00BA56F4" w:rsidP="00BA56F4">
      <w:pPr>
        <w:pStyle w:val="Ttulo2"/>
      </w:pPr>
      <w:r>
        <w:t>DAS DISPOSIÇÕES FINAIS E TRANSITÓRIAS</w:t>
      </w:r>
    </w:p>
    <w:p w:rsidR="00BA56F4" w:rsidRDefault="00BA56F4" w:rsidP="00BA56F4">
      <w:pPr>
        <w:pStyle w:val="04-TextodeArtigoeIncisos"/>
      </w:pPr>
      <w:r>
        <w:t>Art. 10. O candidato deverá preencher ficha de inscrição, especificando de forma hierárquica até duas opções de cursos a que deseje concorrer, quando disponíveis.</w:t>
      </w:r>
    </w:p>
    <w:p w:rsidR="00BA56F4" w:rsidRDefault="00BA56F4" w:rsidP="00BA56F4">
      <w:pPr>
        <w:pStyle w:val="04-TextodeArtigoeIncisos"/>
      </w:pPr>
      <w:r>
        <w:t xml:space="preserve">Art. 11. Para fins do resultado do processo seletivo aos cursos e exames do Programa </w:t>
      </w:r>
      <w:proofErr w:type="spellStart"/>
      <w:proofErr w:type="gramStart"/>
      <w:r>
        <w:t>IsF</w:t>
      </w:r>
      <w:proofErr w:type="spellEnd"/>
      <w:proofErr w:type="gramEnd"/>
      <w:r>
        <w:t>, será considerada sempre a última modificação de inscrição efetuada e confirmada pelo candidato no sistema.</w:t>
      </w:r>
    </w:p>
    <w:p w:rsidR="00BA56F4" w:rsidRDefault="00BA56F4" w:rsidP="00BA56F4">
      <w:pPr>
        <w:pStyle w:val="04-TextodeArtigoeIncisos"/>
      </w:pPr>
      <w:r>
        <w:t xml:space="preserve">Art. 12. É facultado ao candidato alterar suas opções e efetuar o cancelamento da sua inscrição nos processos seletivos do Programa </w:t>
      </w:r>
      <w:proofErr w:type="spellStart"/>
      <w:proofErr w:type="gramStart"/>
      <w:r>
        <w:t>IsF</w:t>
      </w:r>
      <w:proofErr w:type="spellEnd"/>
      <w:proofErr w:type="gramEnd"/>
      <w:r>
        <w:t xml:space="preserve"> no sistema, durante o período estabelecido para as inscrições.</w:t>
      </w:r>
    </w:p>
    <w:p w:rsidR="00BA56F4" w:rsidRDefault="00BA56F4" w:rsidP="00BA56F4">
      <w:pPr>
        <w:pStyle w:val="04-TextodeArtigoeIncisos"/>
      </w:pPr>
      <w:r>
        <w:t xml:space="preserve">Art. 13. Serão considerados selecionados para exames de nivelamento ou proficiência e para cursos presenciais de línguas somente aqueles candidatos classificados dentro do número de vagas ofertadas no âmbito do Programa </w:t>
      </w:r>
      <w:proofErr w:type="spellStart"/>
      <w:proofErr w:type="gramStart"/>
      <w:r>
        <w:t>IsF</w:t>
      </w:r>
      <w:proofErr w:type="spellEnd"/>
      <w:proofErr w:type="gramEnd"/>
      <w:r>
        <w:t>, conforme definido nesta Portaria e nos editais específicos.</w:t>
      </w:r>
    </w:p>
    <w:p w:rsidR="00BA56F4" w:rsidRDefault="00BA56F4" w:rsidP="00BA56F4">
      <w:pPr>
        <w:pStyle w:val="04-TextodeArtigoeIncisos"/>
      </w:pPr>
      <w:r>
        <w:t xml:space="preserve">Art. 14. As vagas aos cursos presenciais de línguas decorrentes dos cancelamentos serão novamente ofertadas em chamadas subsequentes a serem realizadas automaticamente por meio do sistema </w:t>
      </w:r>
      <w:proofErr w:type="spellStart"/>
      <w:proofErr w:type="gramStart"/>
      <w:r>
        <w:t>IsFgestão</w:t>
      </w:r>
      <w:proofErr w:type="spellEnd"/>
      <w:proofErr w:type="gramEnd"/>
      <w:r>
        <w:t>, obedecida a prioridade e a classificação dos candidatos em lista de espera.</w:t>
      </w:r>
    </w:p>
    <w:p w:rsidR="00BA56F4" w:rsidRDefault="00BA56F4" w:rsidP="00BA56F4">
      <w:pPr>
        <w:pStyle w:val="04-TextodeArtigoeIncisos"/>
      </w:pPr>
      <w:r>
        <w:lastRenderedPageBreak/>
        <w:t xml:space="preserve">Art. 15. A inscrição do candidato nos processos seletivos do Programa </w:t>
      </w:r>
      <w:proofErr w:type="spellStart"/>
      <w:proofErr w:type="gramStart"/>
      <w:r>
        <w:t>IsF</w:t>
      </w:r>
      <w:proofErr w:type="spellEnd"/>
      <w:proofErr w:type="gramEnd"/>
      <w:r>
        <w:t xml:space="preserve"> implica o conhecimento e concordância expressa das normas estabelecidas nesta Portaria e nos editais específicos.</w:t>
      </w:r>
    </w:p>
    <w:p w:rsidR="00BA56F4" w:rsidRDefault="00BA56F4" w:rsidP="00BA56F4">
      <w:pPr>
        <w:pStyle w:val="04-TextodeArtigoeIncisos"/>
      </w:pPr>
      <w:r>
        <w:t>Art. 16. Esta Portaria entra em vigor na data de sua publicação.</w:t>
      </w:r>
    </w:p>
    <w:p w:rsidR="00BA56F4" w:rsidRDefault="00BA56F4" w:rsidP="00BA56F4">
      <w:pPr>
        <w:pStyle w:val="07-AssinaturaeDOU"/>
      </w:pPr>
      <w:r>
        <w:t>ALOIZIO MERCADANTE OLIVA</w:t>
      </w:r>
    </w:p>
    <w:p w:rsidR="00BA56F4" w:rsidRDefault="00BA56F4" w:rsidP="00BA56F4">
      <w:pPr>
        <w:pStyle w:val="07-AssinaturaeDOU"/>
      </w:pPr>
    </w:p>
    <w:p w:rsidR="00911912" w:rsidRDefault="00BA56F4" w:rsidP="00BA56F4">
      <w:pPr>
        <w:pStyle w:val="07-AssinaturaeDOU"/>
        <w:rPr>
          <w:b w:val="0"/>
          <w:i/>
        </w:rPr>
      </w:pPr>
      <w:r>
        <w:rPr>
          <w:i/>
        </w:rPr>
        <w:t xml:space="preserve">(Publicação no DOU n.º 229, de 26.11.2013, Seção 1, página </w:t>
      </w:r>
      <w:proofErr w:type="gramStart"/>
      <w:r>
        <w:rPr>
          <w:i/>
        </w:rPr>
        <w:t>25)</w:t>
      </w:r>
      <w:proofErr w:type="gramEnd"/>
    </w:p>
    <w:sectPr w:rsidR="009119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FA" w:rsidRDefault="008E0EFA">
      <w:pPr>
        <w:spacing w:line="240" w:lineRule="auto"/>
      </w:pPr>
      <w:r>
        <w:separator/>
      </w:r>
    </w:p>
  </w:endnote>
  <w:endnote w:type="continuationSeparator" w:id="0">
    <w:p w:rsidR="008E0EFA" w:rsidRDefault="008E0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BD" w:rsidRDefault="00540A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A56F4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BA56F4">
              <w:rPr>
                <w:noProof/>
              </w:rPr>
              <w:t>4</w:t>
            </w:r>
          </w:fldSimple>
        </w:p>
      </w:tc>
      <w:tc>
        <w:tcPr>
          <w:tcW w:w="1533" w:type="pct"/>
          <w:vAlign w:val="center"/>
        </w:tcPr>
        <w:p w:rsidR="00B37108" w:rsidRDefault="006610F6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6884FFA7" wp14:editId="51509590">
                <wp:simplePos x="0" y="0"/>
                <wp:positionH relativeFrom="column">
                  <wp:posOffset>1090930</wp:posOffset>
                </wp:positionH>
                <wp:positionV relativeFrom="paragraph">
                  <wp:posOffset>43180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BD" w:rsidRDefault="00540A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FA" w:rsidRDefault="008E0EFA">
      <w:pPr>
        <w:spacing w:line="240" w:lineRule="auto"/>
      </w:pPr>
      <w:r>
        <w:separator/>
      </w:r>
    </w:p>
  </w:footnote>
  <w:footnote w:type="continuationSeparator" w:id="0">
    <w:p w:rsidR="008E0EFA" w:rsidRDefault="008E0E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F8582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614E95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1353E29C" wp14:editId="1429333F">
          <wp:simplePos x="0" y="0"/>
          <wp:positionH relativeFrom="column">
            <wp:posOffset>15240</wp:posOffset>
          </wp:positionH>
          <wp:positionV relativeFrom="paragraph">
            <wp:posOffset>3081020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826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 Normativ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F8582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FA"/>
    <w:rsid w:val="0006784B"/>
    <w:rsid w:val="000944C5"/>
    <w:rsid w:val="000D6474"/>
    <w:rsid w:val="0010273E"/>
    <w:rsid w:val="001B2EAB"/>
    <w:rsid w:val="001E5478"/>
    <w:rsid w:val="002541FD"/>
    <w:rsid w:val="00333A6E"/>
    <w:rsid w:val="003B37E2"/>
    <w:rsid w:val="003D35E7"/>
    <w:rsid w:val="00413737"/>
    <w:rsid w:val="00420FED"/>
    <w:rsid w:val="0044243C"/>
    <w:rsid w:val="004572B6"/>
    <w:rsid w:val="00540ABD"/>
    <w:rsid w:val="0060436D"/>
    <w:rsid w:val="00613D95"/>
    <w:rsid w:val="00614E95"/>
    <w:rsid w:val="006610F6"/>
    <w:rsid w:val="0077690B"/>
    <w:rsid w:val="00800168"/>
    <w:rsid w:val="008102F4"/>
    <w:rsid w:val="008474C5"/>
    <w:rsid w:val="00895428"/>
    <w:rsid w:val="008E0EFA"/>
    <w:rsid w:val="008F0C7F"/>
    <w:rsid w:val="00911912"/>
    <w:rsid w:val="009149E4"/>
    <w:rsid w:val="00971910"/>
    <w:rsid w:val="00A1683D"/>
    <w:rsid w:val="00AA287F"/>
    <w:rsid w:val="00AC146F"/>
    <w:rsid w:val="00B24781"/>
    <w:rsid w:val="00B37108"/>
    <w:rsid w:val="00B75E35"/>
    <w:rsid w:val="00BA56F4"/>
    <w:rsid w:val="00BC4998"/>
    <w:rsid w:val="00C00A02"/>
    <w:rsid w:val="00C2161D"/>
    <w:rsid w:val="00C71C1E"/>
    <w:rsid w:val="00C94D4C"/>
    <w:rsid w:val="00CF1E92"/>
    <w:rsid w:val="00D70FCC"/>
    <w:rsid w:val="00DA6125"/>
    <w:rsid w:val="00DB6F2D"/>
    <w:rsid w:val="00DD7B30"/>
    <w:rsid w:val="00DF5DD6"/>
    <w:rsid w:val="00E00D2A"/>
    <w:rsid w:val="00EC644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C5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474C5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474C5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474C5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474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474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474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474C5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474C5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474C5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474C5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474C5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474C5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474C5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474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474C5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474C5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474C5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C5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474C5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474C5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474C5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474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474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474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474C5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474C5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474C5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474C5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474C5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474C5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474C5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474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474C5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474C5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474C5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normativ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29A6-5589-4A8A-86AD-04C38857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normativa</Template>
  <TotalTime>1</TotalTime>
  <Pages>4</Pages>
  <Words>1093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2011-10-03T11:36:00Z</cp:lastPrinted>
  <dcterms:created xsi:type="dcterms:W3CDTF">2013-11-26T10:14:00Z</dcterms:created>
  <dcterms:modified xsi:type="dcterms:W3CDTF">2013-11-26T10:14:00Z</dcterms:modified>
</cp:coreProperties>
</file>