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Default="003C0A90" w:rsidP="003C0A90">
      <w:pPr>
        <w:spacing w:line="240" w:lineRule="auto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i/>
          <w:iCs/>
          <w:noProof/>
          <w:sz w:val="20"/>
        </w:rPr>
        <w:drawing>
          <wp:anchor distT="0" distB="0" distL="114300" distR="114300" simplePos="0" relativeHeight="251657728" behindDoc="0" locked="0" layoutInCell="1" allowOverlap="1" wp14:anchorId="0478AAE4" wp14:editId="2440AFBE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Default="00B37108" w:rsidP="003C0A90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3C0A90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3C0A90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3C0A90">
      <w:pPr>
        <w:spacing w:line="240" w:lineRule="auto"/>
        <w:jc w:val="center"/>
        <w:rPr>
          <w:rFonts w:ascii="Verdana" w:hAnsi="Verdana"/>
          <w:b/>
          <w:bCs/>
          <w:sz w:val="20"/>
        </w:rPr>
      </w:pPr>
    </w:p>
    <w:p w:rsidR="00B37108" w:rsidRDefault="00B37108" w:rsidP="003C0A90">
      <w:pPr>
        <w:pStyle w:val="Ttulo"/>
        <w:ind w:firstLine="0"/>
        <w:rPr>
          <w:rFonts w:ascii="Verdana" w:hAnsi="Verdana"/>
          <w:sz w:val="20"/>
        </w:rPr>
      </w:pPr>
    </w:p>
    <w:p w:rsidR="008474C5" w:rsidRDefault="008474C5" w:rsidP="003C0A90">
      <w:pPr>
        <w:spacing w:line="240" w:lineRule="auto"/>
        <w:jc w:val="center"/>
        <w:rPr>
          <w:b/>
        </w:rPr>
      </w:pPr>
    </w:p>
    <w:p w:rsidR="003C0A90" w:rsidRDefault="003C0A90" w:rsidP="003C0A90">
      <w:pPr>
        <w:spacing w:line="240" w:lineRule="auto"/>
        <w:jc w:val="center"/>
        <w:rPr>
          <w:b/>
        </w:rPr>
      </w:pPr>
    </w:p>
    <w:p w:rsidR="003C0A90" w:rsidRDefault="003C0A90" w:rsidP="003C0A90">
      <w:pPr>
        <w:spacing w:line="240" w:lineRule="auto"/>
        <w:jc w:val="center"/>
        <w:rPr>
          <w:b/>
        </w:rPr>
      </w:pPr>
    </w:p>
    <w:p w:rsidR="003C0A90" w:rsidRPr="00620A8E" w:rsidRDefault="003C0A90" w:rsidP="003C0A90">
      <w:pPr>
        <w:pStyle w:val="Ttulo1"/>
      </w:pPr>
      <w:r w:rsidRPr="00620A8E">
        <w:t>MINISTÉRIO DA EDUCAÇÃO</w:t>
      </w:r>
    </w:p>
    <w:p w:rsidR="003C0A90" w:rsidRPr="00620A8E" w:rsidRDefault="003C0A90" w:rsidP="003C0A90">
      <w:pPr>
        <w:pStyle w:val="Ttulo1"/>
      </w:pPr>
      <w:r w:rsidRPr="00620A8E">
        <w:t>GABINETE DO MINISTRO</w:t>
      </w:r>
    </w:p>
    <w:p w:rsidR="003C0A90" w:rsidRPr="00620A8E" w:rsidRDefault="003C0A90" w:rsidP="003C0A90">
      <w:pPr>
        <w:pStyle w:val="Ttulo1"/>
      </w:pPr>
      <w:r w:rsidRPr="00620A8E">
        <w:t xml:space="preserve">PORTARIA NORMATIVA Nº 23, DE 20 DE NOVEMBRO DE </w:t>
      </w:r>
      <w:proofErr w:type="gramStart"/>
      <w:r w:rsidRPr="00620A8E">
        <w:t>2013</w:t>
      </w:r>
      <w:proofErr w:type="gramEnd"/>
    </w:p>
    <w:p w:rsidR="003C0A90" w:rsidRDefault="003C0A90" w:rsidP="003C0A90">
      <w:pPr>
        <w:pStyle w:val="06-Ementa"/>
      </w:pPr>
      <w:r w:rsidRPr="00620A8E">
        <w:t>Altera dispositivos das Portarias Normativas</w:t>
      </w:r>
      <w:r>
        <w:t xml:space="preserve"> </w:t>
      </w:r>
      <w:r w:rsidRPr="00620A8E">
        <w:t>MEC n</w:t>
      </w:r>
      <w:r>
        <w:t>º</w:t>
      </w:r>
      <w:r w:rsidRPr="00620A8E">
        <w:t xml:space="preserve"> 2, de 31 de março de 2008, </w:t>
      </w:r>
      <w:proofErr w:type="gramStart"/>
      <w:r w:rsidRPr="00620A8E">
        <w:t>no</w:t>
      </w:r>
      <w:r>
        <w:t xml:space="preserve"> </w:t>
      </w:r>
      <w:r w:rsidRPr="00620A8E">
        <w:t>10</w:t>
      </w:r>
      <w:proofErr w:type="gramEnd"/>
      <w:r w:rsidRPr="00620A8E">
        <w:t>, de 30 de abril de 2010, n</w:t>
      </w:r>
      <w:r>
        <w:t>º</w:t>
      </w:r>
      <w:r w:rsidRPr="00620A8E">
        <w:t xml:space="preserve"> 15, de 8 de</w:t>
      </w:r>
      <w:r>
        <w:t xml:space="preserve"> </w:t>
      </w:r>
      <w:r w:rsidRPr="00620A8E">
        <w:t>julho de 2011, n</w:t>
      </w:r>
      <w:r>
        <w:t>º</w:t>
      </w:r>
      <w:r w:rsidRPr="00620A8E">
        <w:t xml:space="preserve"> 25, de 22 de dezembro de</w:t>
      </w:r>
      <w:r>
        <w:t xml:space="preserve"> </w:t>
      </w:r>
      <w:r w:rsidRPr="00620A8E">
        <w:t>2011, e no 19, de 31 de outubro de 2012,</w:t>
      </w:r>
      <w:r>
        <w:t xml:space="preserve"> </w:t>
      </w:r>
      <w:r w:rsidRPr="00620A8E">
        <w:t>que dispõem sobre o Fundo de Financiamento</w:t>
      </w:r>
      <w:r>
        <w:t xml:space="preserve"> </w:t>
      </w:r>
      <w:r w:rsidRPr="00620A8E">
        <w:t>Estudantil - Fies.</w:t>
      </w:r>
    </w:p>
    <w:p w:rsidR="003C0A90" w:rsidRPr="00620A8E" w:rsidRDefault="003C0A90" w:rsidP="003C0A90">
      <w:pPr>
        <w:pStyle w:val="04-TextodeArtigoeIncisos"/>
      </w:pPr>
      <w:r w:rsidRPr="00620A8E">
        <w:t>O MINISTRO DE ESTADO DA EDUCAÇÃO, no uso das</w:t>
      </w:r>
      <w:r>
        <w:t xml:space="preserve"> </w:t>
      </w:r>
      <w:r w:rsidRPr="00620A8E">
        <w:t>atribuições que lhe conferem o art. 87, parágrafo único, inciso II, da</w:t>
      </w:r>
      <w:r>
        <w:t xml:space="preserve"> </w:t>
      </w:r>
      <w:r w:rsidRPr="00620A8E">
        <w:t>Constituição, e o art. 3º, §1º da Lei n</w:t>
      </w:r>
      <w:r>
        <w:t>º</w:t>
      </w:r>
      <w:r w:rsidRPr="00620A8E">
        <w:t xml:space="preserve"> 10.260, de 12 de julho de 2001,</w:t>
      </w:r>
      <w:r>
        <w:t xml:space="preserve"> </w:t>
      </w:r>
      <w:r w:rsidRPr="00620A8E">
        <w:t>resolve:</w:t>
      </w:r>
    </w:p>
    <w:p w:rsidR="003C0A90" w:rsidRDefault="003C0A90" w:rsidP="003C0A90">
      <w:pPr>
        <w:pStyle w:val="04-TextodeArtigoeIncisos"/>
      </w:pPr>
      <w:r w:rsidRPr="00620A8E">
        <w:t>Art. 1º A Portaria Normativa MEC n</w:t>
      </w:r>
      <w:r>
        <w:t>º</w:t>
      </w:r>
      <w:r w:rsidRPr="00620A8E">
        <w:t xml:space="preserve"> 2, de 31 de março de</w:t>
      </w:r>
      <w:r>
        <w:t xml:space="preserve"> </w:t>
      </w:r>
      <w:r w:rsidRPr="00620A8E">
        <w:t>2008, passa a vigorar com as seguintes alterações:</w:t>
      </w:r>
    </w:p>
    <w:p w:rsidR="003C0A90" w:rsidRPr="00620A8E" w:rsidRDefault="003C0A90" w:rsidP="003C0A90">
      <w:pPr>
        <w:pStyle w:val="04-TextodeArtigoeIncisos"/>
      </w:pPr>
      <w:r w:rsidRPr="00620A8E">
        <w:t>"Art. 16. É vedado o benefício simultâneo de financiamento</w:t>
      </w:r>
      <w:r>
        <w:t xml:space="preserve"> </w:t>
      </w:r>
      <w:r w:rsidRPr="00620A8E">
        <w:t xml:space="preserve">com recursos do Fies e de bolsa do </w:t>
      </w:r>
      <w:proofErr w:type="spellStart"/>
      <w:proofErr w:type="gramStart"/>
      <w:r w:rsidRPr="00620A8E">
        <w:t>ProUni</w:t>
      </w:r>
      <w:proofErr w:type="spellEnd"/>
      <w:proofErr w:type="gramEnd"/>
      <w:r w:rsidRPr="00620A8E">
        <w:t>, salvo quando se tratar de</w:t>
      </w:r>
      <w:r>
        <w:t xml:space="preserve"> </w:t>
      </w:r>
      <w:r w:rsidRPr="00620A8E">
        <w:t>bolsa parcial e ambos se destinarem ao mesmo curso, na mesma</w:t>
      </w:r>
      <w:r>
        <w:t xml:space="preserve"> </w:t>
      </w:r>
      <w:r w:rsidRPr="00620A8E">
        <w:t>instituição de ensino superior.</w:t>
      </w:r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r w:rsidRPr="00620A8E">
        <w:t>§ 3</w:t>
      </w:r>
      <w:r>
        <w:t>º</w:t>
      </w:r>
      <w:r w:rsidRPr="00620A8E">
        <w:t xml:space="preserve"> O estudante beneficiário do Fies e de bolsa parcial do</w:t>
      </w:r>
      <w:r>
        <w:t xml:space="preserve"> </w:t>
      </w:r>
      <w:proofErr w:type="spellStart"/>
      <w:proofErr w:type="gramStart"/>
      <w:r w:rsidRPr="00620A8E">
        <w:t>ProUni</w:t>
      </w:r>
      <w:proofErr w:type="spellEnd"/>
      <w:proofErr w:type="gramEnd"/>
      <w:r w:rsidRPr="00620A8E">
        <w:t xml:space="preserve"> em cursos ou Instituições de Ensino Superior distintos deverá</w:t>
      </w:r>
      <w:r>
        <w:t xml:space="preserve"> </w:t>
      </w:r>
      <w:r w:rsidRPr="00620A8E">
        <w:t xml:space="preserve">efetuar uma transferência no </w:t>
      </w:r>
      <w:proofErr w:type="spellStart"/>
      <w:r w:rsidRPr="00620A8E">
        <w:t>Sisfies</w:t>
      </w:r>
      <w:proofErr w:type="spellEnd"/>
      <w:r w:rsidRPr="00620A8E">
        <w:t>, na forma da Portaria Normativa</w:t>
      </w:r>
      <w:r>
        <w:t xml:space="preserve"> </w:t>
      </w:r>
      <w:r w:rsidRPr="00620A8E">
        <w:t>n</w:t>
      </w:r>
      <w:r>
        <w:t>º</w:t>
      </w:r>
      <w:r w:rsidRPr="00620A8E">
        <w:t xml:space="preserve"> 25, de 22 de dezembro de 2011, para o mesmo curso e Instituição</w:t>
      </w:r>
      <w:r>
        <w:t xml:space="preserve"> </w:t>
      </w:r>
      <w:r w:rsidRPr="00620A8E">
        <w:t xml:space="preserve">de Ensino Superior - IES para o qual obteve a bolsa do </w:t>
      </w:r>
      <w:proofErr w:type="spellStart"/>
      <w:r w:rsidRPr="00620A8E">
        <w:t>ProUni</w:t>
      </w:r>
      <w:proofErr w:type="spellEnd"/>
      <w:r w:rsidRPr="00620A8E">
        <w:t>.</w:t>
      </w:r>
      <w:r>
        <w:t xml:space="preserve"> </w:t>
      </w:r>
    </w:p>
    <w:p w:rsidR="003C0A90" w:rsidRPr="00620A8E" w:rsidRDefault="003C0A90" w:rsidP="003C0A90">
      <w:pPr>
        <w:pStyle w:val="04-TextodeArtigoeIncisos"/>
      </w:pPr>
      <w:r w:rsidRPr="00620A8E">
        <w:t>§ 4</w:t>
      </w:r>
      <w:r>
        <w:t>º</w:t>
      </w:r>
      <w:r w:rsidRPr="00620A8E">
        <w:t xml:space="preserve"> O estudante beneficiário do Fies que obtiver bolsa</w:t>
      </w:r>
      <w:r>
        <w:t xml:space="preserve"> </w:t>
      </w:r>
      <w:r w:rsidRPr="00620A8E">
        <w:t xml:space="preserve">parcial do </w:t>
      </w:r>
      <w:proofErr w:type="spellStart"/>
      <w:proofErr w:type="gramStart"/>
      <w:r w:rsidRPr="00620A8E">
        <w:t>ProUni</w:t>
      </w:r>
      <w:proofErr w:type="spellEnd"/>
      <w:proofErr w:type="gramEnd"/>
      <w:r w:rsidRPr="00620A8E">
        <w:t xml:space="preserve"> para o mesmo curso, na mesma IES, poderá,</w:t>
      </w:r>
      <w:r>
        <w:t xml:space="preserve"> </w:t>
      </w:r>
      <w:r w:rsidRPr="00620A8E">
        <w:t>quando for o caso, alterar o percentual de financiamento de forma a</w:t>
      </w:r>
      <w:r>
        <w:t xml:space="preserve"> </w:t>
      </w:r>
      <w:r w:rsidRPr="00620A8E">
        <w:t>adequá-lo à bolsa obtida.</w:t>
      </w:r>
    </w:p>
    <w:p w:rsidR="003C0A90" w:rsidRPr="00620A8E" w:rsidRDefault="003C0A90" w:rsidP="003C0A90">
      <w:pPr>
        <w:pStyle w:val="04-TextodeArtigoeIncisos"/>
      </w:pPr>
      <w:r w:rsidRPr="00620A8E">
        <w:t>§ 5</w:t>
      </w:r>
      <w:r>
        <w:t>º</w:t>
      </w:r>
      <w:r w:rsidRPr="00620A8E">
        <w:t xml:space="preserve"> Na solicitação de aditamento de renovação semestral do</w:t>
      </w:r>
      <w:r>
        <w:t xml:space="preserve"> </w:t>
      </w:r>
      <w:r w:rsidRPr="00620A8E">
        <w:t>financiamento com recursos do Fies pela CPSA no Sistema Informatizado</w:t>
      </w:r>
      <w:r>
        <w:t xml:space="preserve"> </w:t>
      </w:r>
      <w:r w:rsidRPr="00620A8E">
        <w:t xml:space="preserve">do Fies - </w:t>
      </w:r>
      <w:proofErr w:type="spellStart"/>
      <w:r w:rsidRPr="00620A8E">
        <w:t>Sisfies</w:t>
      </w:r>
      <w:proofErr w:type="spellEnd"/>
      <w:r w:rsidRPr="00620A8E">
        <w:t xml:space="preserve"> será verificado o cumprimento do disposto</w:t>
      </w:r>
      <w:r>
        <w:t xml:space="preserve"> </w:t>
      </w:r>
      <w:r w:rsidRPr="00620A8E">
        <w:t>no caput deste artigo.</w:t>
      </w:r>
    </w:p>
    <w:p w:rsidR="003C0A90" w:rsidRPr="00620A8E" w:rsidRDefault="003C0A90" w:rsidP="003C0A90">
      <w:pPr>
        <w:pStyle w:val="04-TextodeArtigoeIncisos"/>
      </w:pPr>
      <w:r w:rsidRPr="00620A8E">
        <w:t>§ 6</w:t>
      </w:r>
      <w:r>
        <w:t>º</w:t>
      </w:r>
      <w:r w:rsidRPr="00620A8E">
        <w:t xml:space="preserve"> Caso seja constatada a situação prevista no caput, e</w:t>
      </w:r>
      <w:r>
        <w:t xml:space="preserve"> </w:t>
      </w:r>
      <w:r w:rsidRPr="00620A8E">
        <w:t>passado o prazo estabelecido para o aditamento de renovação semestral,</w:t>
      </w:r>
      <w:r>
        <w:t xml:space="preserve"> </w:t>
      </w:r>
      <w:r w:rsidRPr="00620A8E">
        <w:t>o financiamento com recursos do Fies será encerrado tacitamente</w:t>
      </w:r>
      <w:r>
        <w:t xml:space="preserve"> </w:t>
      </w:r>
      <w:r w:rsidRPr="00620A8E">
        <w:t>por iniciativa do agente operador, na forma da Portaria</w:t>
      </w:r>
      <w:r>
        <w:t xml:space="preserve"> </w:t>
      </w:r>
      <w:r w:rsidRPr="00620A8E">
        <w:t>Normativa MEC n</w:t>
      </w:r>
      <w:r>
        <w:t>º</w:t>
      </w:r>
      <w:r w:rsidRPr="00620A8E">
        <w:t xml:space="preserve"> 19, de 31 de outubro de 2012." (NR</w:t>
      </w:r>
      <w:proofErr w:type="gramStart"/>
      <w:r w:rsidRPr="00620A8E">
        <w:t>)</w:t>
      </w:r>
      <w:proofErr w:type="gramEnd"/>
    </w:p>
    <w:p w:rsidR="003C0A90" w:rsidRPr="00620A8E" w:rsidRDefault="003C0A90" w:rsidP="003C0A90">
      <w:pPr>
        <w:pStyle w:val="04-TextodeArtigoeIncisos"/>
      </w:pPr>
      <w:r w:rsidRPr="00620A8E">
        <w:lastRenderedPageBreak/>
        <w:t>Art. 2</w:t>
      </w:r>
      <w:r>
        <w:t>º</w:t>
      </w:r>
      <w:r w:rsidRPr="00620A8E">
        <w:t xml:space="preserve"> A Portaria Normativa MEC n</w:t>
      </w:r>
      <w:r>
        <w:t>º</w:t>
      </w:r>
      <w:r w:rsidRPr="00620A8E">
        <w:t xml:space="preserve"> 10, de 30 de abril de</w:t>
      </w:r>
      <w:r>
        <w:t xml:space="preserve"> </w:t>
      </w:r>
      <w:r w:rsidRPr="00620A8E">
        <w:t>2010, passa a vigorar com as seguintes alterações:</w:t>
      </w:r>
    </w:p>
    <w:p w:rsidR="003C0A90" w:rsidRPr="00620A8E" w:rsidRDefault="003C0A90" w:rsidP="003C0A90">
      <w:pPr>
        <w:pStyle w:val="04-TextodeArtigoeIncisos"/>
      </w:pPr>
      <w:r w:rsidRPr="00620A8E">
        <w:t xml:space="preserve">"Art. </w:t>
      </w:r>
      <w:proofErr w:type="gramStart"/>
      <w:r w:rsidRPr="00620A8E">
        <w:t>6</w:t>
      </w:r>
      <w:r>
        <w:t>º</w:t>
      </w:r>
      <w:r w:rsidRPr="00620A8E">
        <w:t xml:space="preserve"> ...</w:t>
      </w:r>
      <w:proofErr w:type="gramEnd"/>
      <w:r w:rsidRPr="00620A8E">
        <w:t>...............................................................................</w:t>
      </w:r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r w:rsidRPr="00620A8E">
        <w:t>§ 8</w:t>
      </w:r>
      <w:r>
        <w:t>º</w:t>
      </w:r>
      <w:r w:rsidRPr="00620A8E">
        <w:t xml:space="preserve"> O percentual de financiamento contratado na forma dos</w:t>
      </w:r>
      <w:r>
        <w:t xml:space="preserve"> </w:t>
      </w:r>
      <w:r w:rsidRPr="00620A8E">
        <w:t>incisos I a III do caput deste artigo, para estudante financiado beneficiário</w:t>
      </w:r>
      <w:r>
        <w:t xml:space="preserve"> </w:t>
      </w:r>
      <w:r w:rsidRPr="00620A8E">
        <w:t>de bolsa parcial do Programa Universidade para Todos -</w:t>
      </w:r>
      <w:r>
        <w:t xml:space="preserve"> </w:t>
      </w:r>
      <w:proofErr w:type="spellStart"/>
      <w:proofErr w:type="gramStart"/>
      <w:r w:rsidRPr="00620A8E">
        <w:t>ProUni</w:t>
      </w:r>
      <w:proofErr w:type="spellEnd"/>
      <w:proofErr w:type="gramEnd"/>
      <w:r w:rsidRPr="00620A8E">
        <w:t>, poderá ser alterado por solicitação do estudante no período</w:t>
      </w:r>
      <w:r>
        <w:t xml:space="preserve"> </w:t>
      </w:r>
      <w:r w:rsidRPr="00620A8E">
        <w:t>de aditamento do contrato, não sendo aplicado o disposto no § 4</w:t>
      </w:r>
      <w:r>
        <w:t xml:space="preserve">º </w:t>
      </w:r>
      <w:r w:rsidRPr="00620A8E">
        <w:t>deste artigo." (NR)</w:t>
      </w:r>
    </w:p>
    <w:p w:rsidR="003C0A90" w:rsidRPr="00620A8E" w:rsidRDefault="003C0A90" w:rsidP="003C0A90">
      <w:pPr>
        <w:pStyle w:val="04-TextodeArtigoeIncisos"/>
      </w:pPr>
      <w:r w:rsidRPr="00620A8E">
        <w:t>Art. 3</w:t>
      </w:r>
      <w:r>
        <w:t>º</w:t>
      </w:r>
      <w:r w:rsidRPr="00620A8E">
        <w:t xml:space="preserve"> A Portaria Normativa MEC n</w:t>
      </w:r>
      <w:r>
        <w:t>º</w:t>
      </w:r>
      <w:r w:rsidRPr="00620A8E">
        <w:t xml:space="preserve"> 15, de </w:t>
      </w:r>
      <w:proofErr w:type="gramStart"/>
      <w:r w:rsidRPr="00620A8E">
        <w:t>8</w:t>
      </w:r>
      <w:proofErr w:type="gramEnd"/>
      <w:r w:rsidRPr="00620A8E">
        <w:t xml:space="preserve"> de julho de</w:t>
      </w:r>
      <w:r>
        <w:t xml:space="preserve"> </w:t>
      </w:r>
      <w:r w:rsidRPr="00620A8E">
        <w:t>2011, passa a vigorar com as seguintes alterações:</w:t>
      </w:r>
    </w:p>
    <w:p w:rsidR="003C0A90" w:rsidRPr="00620A8E" w:rsidRDefault="003C0A90" w:rsidP="003C0A90">
      <w:pPr>
        <w:pStyle w:val="04-TextodeArtigoeIncisos"/>
      </w:pPr>
      <w:r w:rsidRPr="00620A8E">
        <w:t>"Art. 23</w:t>
      </w:r>
      <w:proofErr w:type="gramStart"/>
      <w:r w:rsidRPr="00620A8E">
        <w:t>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r w:rsidRPr="00620A8E">
        <w:t>IV - a mudança de curso por mais de uma vez ou após 18</w:t>
      </w:r>
      <w:r>
        <w:t xml:space="preserve"> </w:t>
      </w:r>
      <w:r w:rsidRPr="00620A8E">
        <w:t>(dezoito) meses do início de utilização do Fies, ressalvada a hipótese</w:t>
      </w:r>
      <w:r>
        <w:t xml:space="preserve"> </w:t>
      </w:r>
      <w:r w:rsidRPr="00620A8E">
        <w:t>do parágrafo único do art. 2</w:t>
      </w:r>
      <w:r>
        <w:t>º</w:t>
      </w:r>
      <w:r w:rsidRPr="00620A8E">
        <w:t xml:space="preserve"> da Portaria Normativa MEC n</w:t>
      </w:r>
      <w:r>
        <w:t>º</w:t>
      </w:r>
      <w:r w:rsidRPr="00620A8E">
        <w:t xml:space="preserve"> 25, de</w:t>
      </w:r>
      <w:r>
        <w:t xml:space="preserve"> </w:t>
      </w:r>
      <w:r w:rsidRPr="00620A8E">
        <w:t>22 de dezembro de 2011;</w:t>
      </w:r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r w:rsidRPr="00620A8E">
        <w:t>§ 1</w:t>
      </w:r>
      <w:r>
        <w:t>º</w:t>
      </w:r>
      <w:r w:rsidRPr="00620A8E">
        <w:t xml:space="preserve"> Excepcional e justificadamente, durante o período de</w:t>
      </w:r>
      <w:r>
        <w:t xml:space="preserve"> </w:t>
      </w:r>
      <w:r w:rsidRPr="00620A8E">
        <w:t>utilização do financiamento, a CPSA poderá autorizar a continuidade</w:t>
      </w:r>
      <w:r>
        <w:t xml:space="preserve"> </w:t>
      </w:r>
      <w:r w:rsidRPr="00620A8E">
        <w:t xml:space="preserve">do financiamento, por até </w:t>
      </w:r>
      <w:proofErr w:type="gramStart"/>
      <w:r w:rsidRPr="00620A8E">
        <w:t>2</w:t>
      </w:r>
      <w:proofErr w:type="gramEnd"/>
      <w:r w:rsidRPr="00620A8E">
        <w:t xml:space="preserve"> (duas) vezes, no caso de aproveitamento</w:t>
      </w:r>
      <w:r>
        <w:t xml:space="preserve"> </w:t>
      </w:r>
      <w:r w:rsidRPr="00620A8E">
        <w:t>acadêmico em percentual inferior ao estabelecido no inciso I deste</w:t>
      </w:r>
      <w:r>
        <w:t xml:space="preserve"> </w:t>
      </w:r>
      <w:r w:rsidRPr="00620A8E">
        <w:t>artigo.</w:t>
      </w:r>
    </w:p>
    <w:p w:rsidR="003C0A90" w:rsidRPr="00620A8E" w:rsidRDefault="003C0A90" w:rsidP="003C0A90">
      <w:pPr>
        <w:pStyle w:val="04-TextodeArtigoeIncisos"/>
      </w:pPr>
      <w:r w:rsidRPr="00620A8E">
        <w:t xml:space="preserve">§ </w:t>
      </w:r>
      <w:proofErr w:type="gramStart"/>
      <w:r w:rsidRPr="00620A8E">
        <w:t>2</w:t>
      </w:r>
      <w:r>
        <w:t>º</w:t>
      </w:r>
      <w:r w:rsidRPr="00620A8E">
        <w:t xml:space="preserve"> ...</w:t>
      </w:r>
      <w:proofErr w:type="gramEnd"/>
      <w:r w:rsidRPr="00620A8E">
        <w:t>..........................................................</w:t>
      </w:r>
      <w:r>
        <w:t>........</w:t>
      </w:r>
      <w:r w:rsidRPr="00620A8E">
        <w:t>..................."</w:t>
      </w:r>
      <w:r>
        <w:t xml:space="preserve"> </w:t>
      </w:r>
      <w:r w:rsidRPr="00620A8E">
        <w:t>(NR)</w:t>
      </w:r>
    </w:p>
    <w:p w:rsidR="003C0A90" w:rsidRPr="00620A8E" w:rsidRDefault="003C0A90" w:rsidP="003C0A90">
      <w:pPr>
        <w:pStyle w:val="04-TextodeArtigoeIncisos"/>
      </w:pPr>
      <w:r w:rsidRPr="00620A8E">
        <w:t>Art. 4</w:t>
      </w:r>
      <w:r>
        <w:t>º</w:t>
      </w:r>
      <w:r w:rsidRPr="00620A8E">
        <w:t xml:space="preserve"> A Portaria Normativa MEC n</w:t>
      </w:r>
      <w:r>
        <w:t>º</w:t>
      </w:r>
      <w:r w:rsidRPr="00620A8E">
        <w:t xml:space="preserve"> 25, de 22 de dezembro</w:t>
      </w:r>
      <w:r>
        <w:t xml:space="preserve"> </w:t>
      </w:r>
      <w:r w:rsidRPr="00620A8E">
        <w:t>de 2011, passa a vigorar com as seguintes alterações:</w:t>
      </w:r>
    </w:p>
    <w:p w:rsidR="003C0A90" w:rsidRPr="00620A8E" w:rsidRDefault="003C0A90" w:rsidP="003C0A90">
      <w:pPr>
        <w:pStyle w:val="04-TextodeArtigoeIncisos"/>
      </w:pPr>
      <w:r w:rsidRPr="00620A8E">
        <w:t xml:space="preserve">"Art. </w:t>
      </w:r>
      <w:proofErr w:type="gramStart"/>
      <w:r w:rsidRPr="00620A8E">
        <w:t>2</w:t>
      </w:r>
      <w:r>
        <w:t>º</w:t>
      </w:r>
      <w:r w:rsidRPr="00620A8E">
        <w:t xml:space="preserve"> ...</w:t>
      </w:r>
      <w:proofErr w:type="gramEnd"/>
      <w:r w:rsidRPr="00620A8E">
        <w:t>................................................................................</w:t>
      </w:r>
    </w:p>
    <w:p w:rsidR="003C0A90" w:rsidRPr="00620A8E" w:rsidRDefault="003C0A90" w:rsidP="003C0A90">
      <w:pPr>
        <w:pStyle w:val="04-TextodeArtigoeIncisos"/>
      </w:pPr>
      <w:r w:rsidRPr="00620A8E">
        <w:lastRenderedPageBreak/>
        <w:t>Parágrafo único. O estudante financiado beneficiário de bolsa</w:t>
      </w:r>
      <w:r>
        <w:t xml:space="preserve"> </w:t>
      </w:r>
      <w:r w:rsidRPr="00620A8E">
        <w:t xml:space="preserve">parcial do Programa Universidade para Todos - </w:t>
      </w:r>
      <w:proofErr w:type="spellStart"/>
      <w:proofErr w:type="gramStart"/>
      <w:r w:rsidRPr="00620A8E">
        <w:t>ProUni</w:t>
      </w:r>
      <w:proofErr w:type="spellEnd"/>
      <w:proofErr w:type="gramEnd"/>
      <w:r w:rsidRPr="00620A8E">
        <w:t xml:space="preserve"> poderá</w:t>
      </w:r>
      <w:r>
        <w:t xml:space="preserve"> </w:t>
      </w:r>
      <w:r w:rsidRPr="00620A8E">
        <w:t>transferir-se de curso mais de uma vez, na forma desta Portaria,</w:t>
      </w:r>
      <w:r>
        <w:t xml:space="preserve"> </w:t>
      </w:r>
      <w:r w:rsidRPr="00620A8E">
        <w:t>mesmo após transcorridos os 18 (dezoito) meses de que trata o caput."</w:t>
      </w:r>
      <w:r>
        <w:t xml:space="preserve"> </w:t>
      </w:r>
      <w:r w:rsidRPr="00620A8E">
        <w:t>(NR)</w:t>
      </w:r>
    </w:p>
    <w:p w:rsidR="003C0A90" w:rsidRPr="00620A8E" w:rsidRDefault="003C0A90" w:rsidP="003C0A90">
      <w:pPr>
        <w:pStyle w:val="04-TextodeArtigoeIncisos"/>
      </w:pPr>
      <w:r w:rsidRPr="00620A8E">
        <w:t>Art. 5</w:t>
      </w:r>
      <w:r>
        <w:t>º</w:t>
      </w:r>
      <w:r w:rsidRPr="00620A8E">
        <w:t xml:space="preserve"> A Portaria Normativa MEC n</w:t>
      </w:r>
      <w:r>
        <w:t>º</w:t>
      </w:r>
      <w:r w:rsidRPr="00620A8E">
        <w:t xml:space="preserve"> 19, de 31 de outubro</w:t>
      </w:r>
      <w:r>
        <w:t xml:space="preserve"> </w:t>
      </w:r>
      <w:r w:rsidRPr="00620A8E">
        <w:t>de 2012, passa a vigorar com a seguinte redação:</w:t>
      </w:r>
    </w:p>
    <w:p w:rsidR="003C0A90" w:rsidRPr="00620A8E" w:rsidRDefault="003C0A90" w:rsidP="003C0A90">
      <w:pPr>
        <w:pStyle w:val="04-TextodeArtigoeIncisos"/>
      </w:pPr>
      <w:r w:rsidRPr="00620A8E">
        <w:t xml:space="preserve">"Art. </w:t>
      </w:r>
      <w:proofErr w:type="gramStart"/>
      <w:r w:rsidRPr="00620A8E">
        <w:t>7</w:t>
      </w:r>
      <w:r>
        <w:t>º</w:t>
      </w:r>
      <w:r w:rsidRPr="00620A8E">
        <w:t xml:space="preserve"> ...</w:t>
      </w:r>
      <w:proofErr w:type="gramEnd"/>
      <w:r w:rsidRPr="00620A8E">
        <w:t>..............................................................</w:t>
      </w:r>
      <w:r>
        <w:t>...................</w:t>
      </w:r>
    </w:p>
    <w:p w:rsidR="003C0A90" w:rsidRPr="00620A8E" w:rsidRDefault="003C0A90" w:rsidP="003C0A90">
      <w:pPr>
        <w:pStyle w:val="04-TextodeArtigoeIncisos"/>
      </w:pPr>
      <w:proofErr w:type="gramStart"/>
      <w:r w:rsidRPr="00620A8E">
        <w:t>..................................................................................................</w:t>
      </w:r>
      <w:proofErr w:type="gramEnd"/>
    </w:p>
    <w:p w:rsidR="003C0A90" w:rsidRPr="00620A8E" w:rsidRDefault="003C0A90" w:rsidP="003C0A90">
      <w:pPr>
        <w:pStyle w:val="04-TextodeArtigoeIncisos"/>
      </w:pPr>
      <w:r w:rsidRPr="00620A8E">
        <w:t>§ 3</w:t>
      </w:r>
      <w:r>
        <w:t>º</w:t>
      </w:r>
      <w:r w:rsidRPr="00620A8E">
        <w:t xml:space="preserve"> Caso o estudante financiado não realize as adequações</w:t>
      </w:r>
      <w:r>
        <w:t xml:space="preserve"> </w:t>
      </w:r>
      <w:r w:rsidRPr="00620A8E">
        <w:t>estabelecidas nos §§ 1</w:t>
      </w:r>
      <w:r>
        <w:t>º</w:t>
      </w:r>
      <w:r w:rsidRPr="00620A8E">
        <w:t>, 2</w:t>
      </w:r>
      <w:r>
        <w:t>º</w:t>
      </w:r>
      <w:r w:rsidRPr="00620A8E">
        <w:t xml:space="preserve"> e 3</w:t>
      </w:r>
      <w:r>
        <w:t>º</w:t>
      </w:r>
      <w:r w:rsidRPr="00620A8E">
        <w:t xml:space="preserve"> do art. 16 da Portaria Normativa MEC</w:t>
      </w:r>
      <w:r>
        <w:t xml:space="preserve"> </w:t>
      </w:r>
      <w:r w:rsidRPr="00620A8E">
        <w:t>n</w:t>
      </w:r>
      <w:r>
        <w:t>º</w:t>
      </w:r>
      <w:r w:rsidRPr="00620A8E">
        <w:t xml:space="preserve"> 2, de 31 de março de 2008, até o final do prazo estabelecido para</w:t>
      </w:r>
      <w:r>
        <w:t xml:space="preserve"> </w:t>
      </w:r>
      <w:r w:rsidRPr="00620A8E">
        <w:t>o aditamento de renovação semestral do financiamento com recursos</w:t>
      </w:r>
      <w:r>
        <w:t xml:space="preserve"> </w:t>
      </w:r>
      <w:r w:rsidRPr="00620A8E">
        <w:t>do Fies, o prazo de utilização será encerrado pelo agente operador, na</w:t>
      </w:r>
      <w:r>
        <w:t xml:space="preserve"> </w:t>
      </w:r>
      <w:r w:rsidRPr="00620A8E">
        <w:t>forma estabelecida no caput deste artigo." (NR</w:t>
      </w:r>
      <w:proofErr w:type="gramStart"/>
      <w:r w:rsidRPr="00620A8E">
        <w:t>)</w:t>
      </w:r>
      <w:proofErr w:type="gramEnd"/>
    </w:p>
    <w:p w:rsidR="003C0A90" w:rsidRPr="00620A8E" w:rsidRDefault="003C0A90" w:rsidP="003C0A90">
      <w:pPr>
        <w:pStyle w:val="04-TextodeArtigoeIncisos"/>
      </w:pPr>
      <w:r w:rsidRPr="00620A8E">
        <w:t>Art. 6</w:t>
      </w:r>
      <w:r>
        <w:t>º</w:t>
      </w:r>
      <w:r w:rsidRPr="00620A8E">
        <w:t xml:space="preserve"> Esta Portaria entra em vigor na data de sua publicação.</w:t>
      </w:r>
    </w:p>
    <w:p w:rsidR="003C0A90" w:rsidRDefault="003C0A90" w:rsidP="003C0A90">
      <w:pPr>
        <w:pStyle w:val="07-AssinaturaeDOU"/>
      </w:pPr>
      <w:r w:rsidRPr="00620A8E">
        <w:t>ALOIZIO MERCADANTE OLIVA</w:t>
      </w:r>
    </w:p>
    <w:p w:rsidR="003C0A90" w:rsidRDefault="003C0A90" w:rsidP="003C0A90">
      <w:pPr>
        <w:pStyle w:val="07-AssinaturaeDOU"/>
      </w:pPr>
    </w:p>
    <w:p w:rsidR="003C0A90" w:rsidRDefault="003C0A90" w:rsidP="003C0A90">
      <w:pPr>
        <w:pStyle w:val="07-AssinaturaeDOU"/>
      </w:pPr>
      <w:r w:rsidRPr="000D5C37">
        <w:rPr>
          <w:i/>
        </w:rPr>
        <w:t xml:space="preserve">(Publicação no DOU n.º 227, de 22.11.2013, Seção 1, página </w:t>
      </w:r>
      <w:proofErr w:type="gramStart"/>
      <w:r>
        <w:rPr>
          <w:i/>
        </w:rPr>
        <w:t>26</w:t>
      </w:r>
      <w:r w:rsidRPr="000D5C37">
        <w:rPr>
          <w:i/>
        </w:rPr>
        <w:t>)</w:t>
      </w:r>
      <w:bookmarkStart w:id="0" w:name="_GoBack"/>
      <w:bookmarkEnd w:id="0"/>
      <w:proofErr w:type="gramEnd"/>
    </w:p>
    <w:sectPr w:rsidR="003C0A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FA" w:rsidRDefault="008E0EFA">
      <w:pPr>
        <w:spacing w:line="240" w:lineRule="auto"/>
      </w:pPr>
      <w:r>
        <w:separator/>
      </w:r>
    </w:p>
  </w:endnote>
  <w:endnote w:type="continuationSeparator" w:id="0">
    <w:p w:rsidR="008E0EFA" w:rsidRDefault="008E0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C0A90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3C0A90">
              <w:rPr>
                <w:noProof/>
              </w:rPr>
              <w:t>3</w:t>
            </w:r>
          </w:fldSimple>
        </w:p>
      </w:tc>
      <w:tc>
        <w:tcPr>
          <w:tcW w:w="1533" w:type="pct"/>
          <w:vAlign w:val="center"/>
        </w:tcPr>
        <w:p w:rsidR="00B37108" w:rsidRDefault="006610F6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5B49A30F" wp14:editId="330154A3">
                <wp:simplePos x="0" y="0"/>
                <wp:positionH relativeFrom="column">
                  <wp:posOffset>1090930</wp:posOffset>
                </wp:positionH>
                <wp:positionV relativeFrom="paragraph">
                  <wp:posOffset>43180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ABD" w:rsidRDefault="00540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FA" w:rsidRDefault="008E0EFA">
      <w:pPr>
        <w:spacing w:line="240" w:lineRule="auto"/>
      </w:pPr>
      <w:r>
        <w:separator/>
      </w:r>
    </w:p>
  </w:footnote>
  <w:footnote w:type="continuationSeparator" w:id="0">
    <w:p w:rsidR="008E0EFA" w:rsidRDefault="008E0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A8646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614E95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9658398" wp14:editId="6676167D">
          <wp:simplePos x="0" y="0"/>
          <wp:positionH relativeFrom="column">
            <wp:posOffset>15240</wp:posOffset>
          </wp:positionH>
          <wp:positionV relativeFrom="paragraph">
            <wp:posOffset>3081020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646E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 Normativ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A8646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FA"/>
    <w:rsid w:val="0006784B"/>
    <w:rsid w:val="000944C5"/>
    <w:rsid w:val="000D6474"/>
    <w:rsid w:val="0010273E"/>
    <w:rsid w:val="001B2EAB"/>
    <w:rsid w:val="00333A6E"/>
    <w:rsid w:val="003B37E2"/>
    <w:rsid w:val="003C0A90"/>
    <w:rsid w:val="003D35E7"/>
    <w:rsid w:val="00413737"/>
    <w:rsid w:val="00420FED"/>
    <w:rsid w:val="0044243C"/>
    <w:rsid w:val="004572B6"/>
    <w:rsid w:val="00540ABD"/>
    <w:rsid w:val="0060436D"/>
    <w:rsid w:val="00613D95"/>
    <w:rsid w:val="00614E95"/>
    <w:rsid w:val="006610F6"/>
    <w:rsid w:val="0077690B"/>
    <w:rsid w:val="00800168"/>
    <w:rsid w:val="008102F4"/>
    <w:rsid w:val="008474C5"/>
    <w:rsid w:val="00895428"/>
    <w:rsid w:val="008E0EFA"/>
    <w:rsid w:val="008F0C7F"/>
    <w:rsid w:val="00911912"/>
    <w:rsid w:val="009149E4"/>
    <w:rsid w:val="00971910"/>
    <w:rsid w:val="00A1683D"/>
    <w:rsid w:val="00AA287F"/>
    <w:rsid w:val="00AC146F"/>
    <w:rsid w:val="00B24781"/>
    <w:rsid w:val="00B37108"/>
    <w:rsid w:val="00B468D5"/>
    <w:rsid w:val="00B75E35"/>
    <w:rsid w:val="00BC4998"/>
    <w:rsid w:val="00C00A02"/>
    <w:rsid w:val="00C2161D"/>
    <w:rsid w:val="00C71C1E"/>
    <w:rsid w:val="00C94D4C"/>
    <w:rsid w:val="00CF1E92"/>
    <w:rsid w:val="00D70FCC"/>
    <w:rsid w:val="00DA6125"/>
    <w:rsid w:val="00DB6F2D"/>
    <w:rsid w:val="00DD7B30"/>
    <w:rsid w:val="00DF5DD6"/>
    <w:rsid w:val="00E00D2A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5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74C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74C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74C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474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474C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74C5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74C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74C5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74C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74C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74C5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47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474C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74C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74C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5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474C5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474C5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474C5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47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474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474C5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474C5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474C5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474C5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474C5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474C5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474C5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47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474C5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474C5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474C5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normativ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C1C7-7775-4845-A3E1-B1263EF4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normativa</Template>
  <TotalTime>1</TotalTime>
  <Pages>3</Pages>
  <Words>980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2013-11-22T10:46:00Z</dcterms:created>
  <dcterms:modified xsi:type="dcterms:W3CDTF">2013-11-22T10:46:00Z</dcterms:modified>
</cp:coreProperties>
</file>