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89">
        <w:rPr>
          <w:rFonts w:ascii="Times New Roman" w:hAnsi="Times New Roman" w:cs="Times New Roman"/>
          <w:b/>
        </w:rPr>
        <w:t>M</w:t>
      </w:r>
      <w:bookmarkStart w:id="0" w:name="_GoBack"/>
      <w:bookmarkEnd w:id="0"/>
      <w:r w:rsidRPr="00D67F89">
        <w:rPr>
          <w:rFonts w:ascii="Times New Roman" w:hAnsi="Times New Roman" w:cs="Times New Roman"/>
          <w:b/>
        </w:rPr>
        <w:t>INISTÉRIO DA EDUCAÇÃO</w:t>
      </w:r>
    </w:p>
    <w:p w:rsidR="00D67F89" w:rsidRP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89" w:rsidRP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89">
        <w:rPr>
          <w:rFonts w:ascii="Times New Roman" w:hAnsi="Times New Roman" w:cs="Times New Roman"/>
          <w:b/>
        </w:rPr>
        <w:t>INSTITUTO NACIONAL DE ESTUDOS</w:t>
      </w:r>
    </w:p>
    <w:p w:rsid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89">
        <w:rPr>
          <w:rFonts w:ascii="Times New Roman" w:hAnsi="Times New Roman" w:cs="Times New Roman"/>
          <w:b/>
        </w:rPr>
        <w:t>E PESQUISAS EDUCACIONAIS ANÍSIO TEIXEIRA</w:t>
      </w:r>
    </w:p>
    <w:p w:rsidR="00D67F89" w:rsidRP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89" w:rsidRP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8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67F89">
        <w:rPr>
          <w:rFonts w:ascii="Times New Roman" w:hAnsi="Times New Roman" w:cs="Times New Roman"/>
          <w:b/>
        </w:rPr>
        <w:t xml:space="preserve"> 256, DE 14 DE MAIO DE </w:t>
      </w:r>
      <w:proofErr w:type="gramStart"/>
      <w:r w:rsidRPr="00D67F89">
        <w:rPr>
          <w:rFonts w:ascii="Times New Roman" w:hAnsi="Times New Roman" w:cs="Times New Roman"/>
          <w:b/>
        </w:rPr>
        <w:t>2013</w:t>
      </w:r>
      <w:proofErr w:type="gramEnd"/>
    </w:p>
    <w:p w:rsidR="00D67F89" w:rsidRDefault="00D67F89" w:rsidP="00D67F8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67F89" w:rsidRDefault="00D67F89" w:rsidP="00D67F8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Dispõe sobre o pagamento, no âmbito do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INEP, do Auxílio de Avaliação Educacional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- AAE.</w:t>
      </w:r>
    </w:p>
    <w:p w:rsidR="00D67F89" w:rsidRPr="00D67F89" w:rsidRDefault="00D67F89" w:rsidP="00D67F8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 PESQUISAS EDUCAICONAIS ANÍSIO TEIXEIRA -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INEP, no uso de suas atribuições e tendo em vista o previsto na Lei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11.507, de 20 de julho de 2007, o Decreto 6.092, de 24 de abril 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2007, o Decreto 7.114 de 19 de fevereiro de 2010 e o Decreto 7.590,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 26 de outubro de 2011, resolve: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Art. 1º Considerar atividade de avaliação educacional, para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efeito desta Portaria e para o pagamento do Auxílio de Avaliação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Educacional - AAE, as atividades desenvolvidas para a consecução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dos processos de avaliação promovidos pelo INEP, conforme a Portaria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nº 844, de 25 de junho de 2010.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Parágrafo único - O Auxilio de Avaliação Educacional é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devido ao servidor ou colaborador eventual que, em decorrência do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exercício da docência ou pesquisa no ensino básico ou superior,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público ou privado, participe, em caráter eventual, de processo 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avaliação educacional de instituições, cursos, projetos ou desempenho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 estudantes a ser executado pelo Instituto Nacional de Estudos 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Pesquisas Educacionais Anísio Teixeira - INEP.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Art. 2º Serão remunerados com o Auxílio de Avaliação Educacional,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os servidores ou colaboradores que participem das seguintes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atividades, a serviço do INEP: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I - Elaboração de estudo/emissão de parecer relativo à garantia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da qualidade nas aplicações das avaliações, exames e pré-testes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do INEP;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II - Elaboração de estudo/emissão de parecer sobre os parâmetros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 seleção, material instrutivo e capacitação de colaboradores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que atuarão nas aplicações de avaliações, exames e pré-testes,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bem como dos avaliadores de instituições e cursos;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III - Elaboração de estudo/emissão de parecer sobre os critérios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 xml:space="preserve">de seleção de locais de provas, alocação e </w:t>
      </w:r>
      <w:proofErr w:type="spellStart"/>
      <w:r w:rsidRPr="00D67F89">
        <w:rPr>
          <w:rFonts w:ascii="Times New Roman" w:hAnsi="Times New Roman" w:cs="Times New Roman"/>
        </w:rPr>
        <w:t>ensalamento</w:t>
      </w:r>
      <w:proofErr w:type="spellEnd"/>
      <w:r w:rsidRPr="00D67F89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participantes nas avaliações, exames e pré-testes do INEP;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IV - Acompanhamento in loco e elaboração de relatório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técnico acerca dos eventos de capacitação dos colaboradores que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atuarão nas avaliações, exames e pré-testes do INEP;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V - Acompanhamento in loco, supervisão e elaboração 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relatório técnico dos processos de aplicação das avaliações, exames 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pré-testes do INEP;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VI - Reunião técnica para definição de critérios e parâmetros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para propositura de melhorias e soluções para os processos de aplicação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das avaliações, exames e pré-testes do INEP;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VII - Elaboração de relatório/parecer acerca de análise amostral,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pedagógica e/ou psicométrica de itens;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VIII - Participação em oficinas de elaboração, preparação ou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adaptação de itens que comporão o Banco Nacional de Itens - BNI,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questionários e materiais pedagógicos associados às avaliações, exames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 pré-testes;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IX - Elaboração de itens que comporão o BNI ou os questionários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utilizados nas avaliações, exames e pré-testes;</w:t>
      </w:r>
      <w:r>
        <w:rPr>
          <w:rFonts w:ascii="Times New Roman" w:hAnsi="Times New Roman" w:cs="Times New Roman"/>
        </w:rPr>
        <w:t xml:space="preserve"> 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 - Revisão técnico-pedagógica de itens que comporão 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BNI e os questionários utilizados nas avaliações, exames e pré-testes;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XI - Revisão linguística de itens que comporão o BNI 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questionários utilizados nas avaliações, exames e pré-testes;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XII - Montagem e revisão técnico-pedagógica de cadernos 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questões, inclusive as referentes às Comissões de Avaliação.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XIII - Elaboração de estudos, análises estatísticas ou relatórios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científicos sobre avaliações, exames e pré-testes;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XIV - Organização das estatísticas das informações produzidas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nos processos de avaliação educacional;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lastRenderedPageBreak/>
        <w:t>XV - Emissão de parecer técnico sobre obras teórico-metodológicas,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 acordo com a demanda da equipe técnica do INEP;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XVI - Reuniões técnicas para auxiliar a equipe técnica do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INEP na concepção teórico-metodológica e análise de avaliações,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exames, pré-testes e de resultados de pesquisas que avaliem políticas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educacionais, bem como pesquisas que subsidiem avaliações;</w:t>
      </w:r>
      <w:r>
        <w:rPr>
          <w:rFonts w:ascii="Times New Roman" w:hAnsi="Times New Roman" w:cs="Times New Roman"/>
        </w:rPr>
        <w:t xml:space="preserve"> 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XVII - Reunião de colegiado para análise recursal dos processos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 avaliação de instituições, cursos e estudantes;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XVIII - Elaboração/emissão de parecer da análise dos recursos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dos processos relacionados às avaliações do INEP e estudantes;</w:t>
      </w:r>
    </w:p>
    <w:p w:rsidR="00D442FB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XIX - Avaliação in loco de instituições de educação superior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 de cursos de graduação;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XX - Elaboração de indicadores que comporão os instrumentos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 avaliação de instituições de educação superior e de cursos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 graduação;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XXI - Correção de itens de provas discursivas ou de redação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das avaliações, exames e pré-testes;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XXIII - Emissão de parecer técnico de tecnologias educacionais;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XXIV - Avaliação in loco das informações prestadas aos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Censos quanto à fidedignidade dos dados com base nos registros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acadêmicos;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XXV - Emissão de parecer técnico com propostas de ações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para o desenvolvimento da Educação utilizando os resultados das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avaliações in loco.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Art. 3º As informações necessárias para o pagamento e descontos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relativos aos tributos aplicáveis serão fornecidas pelas unidades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responsáveis pela realização das atividades, enumeradas no art.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2º, por meio da devida instrução processual.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Art. 4º Ficam estabelecidos os valores limites de pagamento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 AAE, conforme o estabelecido no Anexo do Decreto nº 6.092, 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24 de abril de 207, alterado pelo Decreto nº 7.590, de 26 de outubro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de 2011, observados os enquadramentos da Tabela anexa.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Parágrafo Único - Os valores constantes da tabela anexa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serão atualizados conforme alterações ao Decreto nº 6.092, de 27 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abril de 2004.</w:t>
      </w:r>
    </w:p>
    <w:p w:rsid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 xml:space="preserve">Art. 5º É vedado o pagamento de AAE </w:t>
      </w:r>
      <w:proofErr w:type="gramStart"/>
      <w:r w:rsidRPr="00D67F89">
        <w:rPr>
          <w:rFonts w:ascii="Times New Roman" w:hAnsi="Times New Roman" w:cs="Times New Roman"/>
        </w:rPr>
        <w:t>a servidores</w:t>
      </w:r>
      <w:proofErr w:type="gramEnd"/>
      <w:r w:rsidRPr="00D67F89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quadro de cargos efetivos ou comissionados da CAPES, do INEP, do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FNDE, da Financiadora de Estudos e Projetos - FINEP e do Conselho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Nacional de Desenvolvimento Científico e Tecnológico - CNPq ou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neles em exercício, bem como o pagamento a servidores e colaboradores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eventuais em função de atividades que não sejam de avaliação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da educação, constituindo-se em simples prestação de serviço.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Parágrafo único - para efeito desta Portaria será admitido 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encaminhamento do documento por meio digital para fins de recebimento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do AAE.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Art. 6º O INEP efetuará o pagamento do AAE após atestação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formal pelo setor competente da execução da atividade, com o recebimento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dos respectivos documentos técnicos, quando a atividade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for considerada concluída.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§ 1º - Os estudos, pareceres e relatórios, referentes às atividades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constantes no art. 2º, deverão ser postados, de acordo com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cronograma a ser estabelecido em Chamada Pública ou Plano 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Trabalho.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§ 2º - Para as sessões de trabalho e reuniões técnicas considerar-se-á como documento comprobatório da atividade executada,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 pauta anexa à lista de presença assinada pelos participantes e 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relatório técnico quando houver;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§ 3º - Para fins de comprovação das atividades constante no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art. 2º, referentes à produção dentro do sistema BNI, admitir-se-á o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relatório de serviços realizados, emitido pelo BNI.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§ 4º - Os documentos mencionados nos parágrafos anteriores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 xml:space="preserve">deverão ser datados e assinados pelo(s) </w:t>
      </w:r>
      <w:proofErr w:type="gramStart"/>
      <w:r w:rsidRPr="00D67F89">
        <w:rPr>
          <w:rFonts w:ascii="Times New Roman" w:hAnsi="Times New Roman" w:cs="Times New Roman"/>
        </w:rPr>
        <w:t>colaborador(</w:t>
      </w:r>
      <w:proofErr w:type="gramEnd"/>
      <w:r w:rsidRPr="00D67F89">
        <w:rPr>
          <w:rFonts w:ascii="Times New Roman" w:hAnsi="Times New Roman" w:cs="Times New Roman"/>
        </w:rPr>
        <w:t>es) responsável(</w:t>
      </w:r>
      <w:proofErr w:type="spellStart"/>
      <w:r w:rsidRPr="00D67F89">
        <w:rPr>
          <w:rFonts w:ascii="Times New Roman" w:hAnsi="Times New Roman" w:cs="Times New Roman"/>
        </w:rPr>
        <w:t>is</w:t>
      </w:r>
      <w:proofErr w:type="spellEnd"/>
      <w:r w:rsidRPr="00D67F89">
        <w:rPr>
          <w:rFonts w:ascii="Times New Roman" w:hAnsi="Times New Roman" w:cs="Times New Roman"/>
        </w:rPr>
        <w:t>) pela execução da atividade;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§ 5º - Os pagamentos a título do AAE estão condicionados à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apresentação dos documentos mencionados nos § 1º ao § 3º.</w:t>
      </w:r>
    </w:p>
    <w:p w:rsidR="00D67F89" w:rsidRPr="00D67F89" w:rsidRDefault="00D67F89" w:rsidP="00D67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Art. 7º Esta Portaria entra em vigor na data de sua publicação.</w:t>
      </w:r>
    </w:p>
    <w:p w:rsid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89">
        <w:rPr>
          <w:rFonts w:ascii="Times New Roman" w:hAnsi="Times New Roman" w:cs="Times New Roman"/>
          <w:b/>
        </w:rPr>
        <w:t>LUIZ CLÁUDIO COSTA</w:t>
      </w:r>
    </w:p>
    <w:p w:rsidR="00D67F89" w:rsidRP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89">
        <w:rPr>
          <w:rFonts w:ascii="Times New Roman" w:hAnsi="Times New Roman" w:cs="Times New Roman"/>
          <w:b/>
        </w:rPr>
        <w:t>ANEXO I</w:t>
      </w:r>
    </w:p>
    <w:p w:rsidR="00D67F89" w:rsidRPr="00D67F89" w:rsidRDefault="00D67F89" w:rsidP="00D67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89" w:rsidRPr="00D67F89" w:rsidRDefault="00D67F89" w:rsidP="00D67F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lastRenderedPageBreak/>
        <w:t>TABELA DE VALORES DO AUXÍLIO DE</w:t>
      </w:r>
      <w:r w:rsidRPr="00D67F89"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AVALIAÇÃO EDUCACIONAL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- AAE NO ÂMBITO DO INEP</w:t>
      </w:r>
    </w:p>
    <w:p w:rsidR="00D67F89" w:rsidRDefault="00D67F89" w:rsidP="00D67F8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842"/>
        <w:gridCol w:w="1731"/>
      </w:tblGrid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center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ATIVIDADE GERAL</w:t>
            </w:r>
          </w:p>
          <w:p w:rsidR="00D67F89" w:rsidRDefault="00D67F89" w:rsidP="00D67F89">
            <w:pPr>
              <w:jc w:val="center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Decreto 7.590, de 26 de outubro de 2011.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center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ATIVIDADE ESPECÍFICA</w:t>
            </w:r>
          </w:p>
          <w:p w:rsidR="00D67F89" w:rsidRDefault="00D67F89" w:rsidP="00D67F89">
            <w:pPr>
              <w:jc w:val="center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Art. 2º, incisos: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center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VALOR R$</w:t>
            </w:r>
          </w:p>
        </w:tc>
      </w:tr>
      <w:tr w:rsidR="00D67F89" w:rsidTr="00D67F89">
        <w:tc>
          <w:tcPr>
            <w:tcW w:w="5529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Visita de avaliação in loco de instituições e de cursos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de graduação e pós-graduação, inclusive educação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7F89">
              <w:rPr>
                <w:rFonts w:ascii="Times New Roman" w:hAnsi="Times New Roman" w:cs="Times New Roman"/>
              </w:rPr>
              <w:t>a</w:t>
            </w:r>
            <w:proofErr w:type="gramEnd"/>
            <w:r w:rsidRPr="00D67F89">
              <w:rPr>
                <w:rFonts w:ascii="Times New Roman" w:hAnsi="Times New Roman" w:cs="Times New Roman"/>
              </w:rPr>
              <w:t xml:space="preserve"> distância.</w:t>
            </w:r>
          </w:p>
        </w:tc>
        <w:tc>
          <w:tcPr>
            <w:tcW w:w="1842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Até 1.200,00</w:t>
            </w:r>
          </w:p>
        </w:tc>
      </w:tr>
      <w:tr w:rsidR="00D67F89" w:rsidTr="00D67F89">
        <w:tc>
          <w:tcPr>
            <w:tcW w:w="5529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Elaboração de estudos, análises estatísticas ou relatórios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científicos de avaliação.</w:t>
            </w:r>
          </w:p>
        </w:tc>
        <w:tc>
          <w:tcPr>
            <w:tcW w:w="1842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I, II, III, IV, V,</w:t>
            </w:r>
          </w:p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VII, XIII, XVIII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e</w:t>
            </w:r>
          </w:p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Até 2.000,00</w:t>
            </w:r>
          </w:p>
        </w:tc>
      </w:tr>
      <w:tr w:rsidR="00D67F89" w:rsidTr="00D67F89">
        <w:tc>
          <w:tcPr>
            <w:tcW w:w="5529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Organização, divulgação e utilização estatística 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informações produzidas nos processos de avaliação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educacional.</w:t>
            </w:r>
          </w:p>
        </w:tc>
        <w:tc>
          <w:tcPr>
            <w:tcW w:w="1842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Até 800,00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Participação em sessão de Comissão de Especialistas,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ou sessão de colegiado com atribuição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avaliação educacional.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VI, XVI e XVII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Até 400,00 por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7F89">
              <w:rPr>
                <w:rFonts w:ascii="Times New Roman" w:hAnsi="Times New Roman" w:cs="Times New Roman"/>
              </w:rPr>
              <w:t>dia</w:t>
            </w:r>
            <w:proofErr w:type="gramEnd"/>
            <w:r w:rsidRPr="00D67F89">
              <w:rPr>
                <w:rFonts w:ascii="Times New Roman" w:hAnsi="Times New Roman" w:cs="Times New Roman"/>
              </w:rPr>
              <w:t xml:space="preserve"> de sessão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Participação em oficinas de elaboração ou preparação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de itens para avaliação de desempenho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estudantes.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VIII e XII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Até 400,00 por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7F89">
              <w:rPr>
                <w:rFonts w:ascii="Times New Roman" w:hAnsi="Times New Roman" w:cs="Times New Roman"/>
              </w:rPr>
              <w:t>dia</w:t>
            </w:r>
            <w:proofErr w:type="gramEnd"/>
            <w:r w:rsidRPr="00D67F89">
              <w:rPr>
                <w:rFonts w:ascii="Times New Roman" w:hAnsi="Times New Roman" w:cs="Times New Roman"/>
              </w:rPr>
              <w:t xml:space="preserve"> de sessão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Elaboração de itens de exames e questionários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avaliação de estudantes e professores da educação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básica e de estudantes do ensino superior.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731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100,00 a 250,00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*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Revisão linguística de itens de exames e questionários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para avaliação de estudantes e professores 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educação básica e de estudantes do ensino superior.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731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50,00 a 100,00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*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Revisão técnico-pedagógica de itens de exames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questionários para avaliação de estudantes e professores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da educação básica e de estudantes do ensino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superior.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1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100,00 a 150,00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*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Correção de itens de provas discursivas ou de redação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para avaliação de estudantes e professores 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educação básica e de estudantes do ensino superior.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1731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20,00 a 100,00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*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Emissão de parecer técnico de tecnologias educacionais.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XXIII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Até 1.300,00</w:t>
            </w:r>
          </w:p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7F89">
              <w:rPr>
                <w:rFonts w:ascii="Times New Roman" w:hAnsi="Times New Roman" w:cs="Times New Roman"/>
              </w:rPr>
              <w:t>por</w:t>
            </w:r>
            <w:proofErr w:type="gramEnd"/>
            <w:r w:rsidRPr="00D67F89">
              <w:rPr>
                <w:rFonts w:ascii="Times New Roman" w:hAnsi="Times New Roman" w:cs="Times New Roman"/>
              </w:rPr>
              <w:t xml:space="preserve"> obra, lote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7F89">
              <w:rPr>
                <w:rFonts w:ascii="Times New Roman" w:hAnsi="Times New Roman" w:cs="Times New Roman"/>
              </w:rPr>
              <w:t>ou</w:t>
            </w:r>
            <w:proofErr w:type="gramEnd"/>
            <w:r w:rsidRPr="00D67F89">
              <w:rPr>
                <w:rFonts w:ascii="Times New Roman" w:hAnsi="Times New Roman" w:cs="Times New Roman"/>
              </w:rPr>
              <w:t xml:space="preserve"> coleção**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Emissão de parecer técnico sobre obras teórico-metodológicas.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Até 800,00 por</w:t>
            </w:r>
          </w:p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7F89">
              <w:rPr>
                <w:rFonts w:ascii="Times New Roman" w:hAnsi="Times New Roman" w:cs="Times New Roman"/>
              </w:rPr>
              <w:t>obra</w:t>
            </w:r>
            <w:proofErr w:type="gramEnd"/>
            <w:r w:rsidRPr="00D67F89">
              <w:rPr>
                <w:rFonts w:ascii="Times New Roman" w:hAnsi="Times New Roman" w:cs="Times New Roman"/>
              </w:rPr>
              <w:t>, lote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7F89">
              <w:rPr>
                <w:rFonts w:ascii="Times New Roman" w:hAnsi="Times New Roman" w:cs="Times New Roman"/>
              </w:rPr>
              <w:t>ou</w:t>
            </w:r>
            <w:proofErr w:type="gramEnd"/>
            <w:r w:rsidRPr="00D67F89">
              <w:rPr>
                <w:rFonts w:ascii="Times New Roman" w:hAnsi="Times New Roman" w:cs="Times New Roman"/>
              </w:rPr>
              <w:t xml:space="preserve"> coleção **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Atividade de assistência técnica, revisão e/ou avaliação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in loco de planos de ações para desenvolvimento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da educação básica.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XXIV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Até 800,00 por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7F89">
              <w:rPr>
                <w:rFonts w:ascii="Times New Roman" w:hAnsi="Times New Roman" w:cs="Times New Roman"/>
              </w:rPr>
              <w:t>lote</w:t>
            </w:r>
            <w:proofErr w:type="gramEnd"/>
            <w:r w:rsidRPr="00D67F89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67F89" w:rsidTr="00D67F89">
        <w:tc>
          <w:tcPr>
            <w:tcW w:w="5529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Análise e parecer prévio de planos de ações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F89">
              <w:rPr>
                <w:rFonts w:ascii="Times New Roman" w:hAnsi="Times New Roman" w:cs="Times New Roman"/>
              </w:rPr>
              <w:t>desenvolvimento da educação básica.</w:t>
            </w:r>
          </w:p>
        </w:tc>
        <w:tc>
          <w:tcPr>
            <w:tcW w:w="1842" w:type="dxa"/>
          </w:tcPr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XXV</w:t>
            </w:r>
          </w:p>
        </w:tc>
        <w:tc>
          <w:tcPr>
            <w:tcW w:w="1731" w:type="dxa"/>
          </w:tcPr>
          <w:p w:rsid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Até 60,00 por</w:t>
            </w:r>
          </w:p>
          <w:p w:rsidR="00D67F89" w:rsidRPr="00D67F89" w:rsidRDefault="00D67F89" w:rsidP="00D67F89">
            <w:pPr>
              <w:jc w:val="both"/>
              <w:rPr>
                <w:rFonts w:ascii="Times New Roman" w:hAnsi="Times New Roman" w:cs="Times New Roman"/>
              </w:rPr>
            </w:pPr>
            <w:r w:rsidRPr="00D67F89">
              <w:rPr>
                <w:rFonts w:ascii="Times New Roman" w:hAnsi="Times New Roman" w:cs="Times New Roman"/>
              </w:rPr>
              <w:t>Plano</w:t>
            </w:r>
          </w:p>
        </w:tc>
      </w:tr>
    </w:tbl>
    <w:p w:rsidR="00D67F89" w:rsidRPr="00D67F89" w:rsidRDefault="00D67F89" w:rsidP="00D67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7F89" w:rsidRPr="00D67F89" w:rsidRDefault="00D67F89" w:rsidP="00D67F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(*) Valor a ser fixado em função da natureza, complexidade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 extensão da atividade e a critério da entidade demandante.</w:t>
      </w:r>
    </w:p>
    <w:p w:rsidR="00D67F89" w:rsidRPr="00D67F89" w:rsidRDefault="00D67F89" w:rsidP="00D67F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F89">
        <w:rPr>
          <w:rFonts w:ascii="Times New Roman" w:hAnsi="Times New Roman" w:cs="Times New Roman"/>
        </w:rPr>
        <w:t>(**) Número de obras ou planos a ser definido a critério da</w:t>
      </w:r>
      <w:r>
        <w:rPr>
          <w:rFonts w:ascii="Times New Roman" w:hAnsi="Times New Roman" w:cs="Times New Roman"/>
        </w:rPr>
        <w:t xml:space="preserve"> </w:t>
      </w:r>
      <w:r w:rsidRPr="00D67F89">
        <w:rPr>
          <w:rFonts w:ascii="Times New Roman" w:hAnsi="Times New Roman" w:cs="Times New Roman"/>
        </w:rPr>
        <w:t>entidade demandante, em função da natureza, complexidade e volume.</w:t>
      </w:r>
    </w:p>
    <w:p w:rsidR="00D67F89" w:rsidRPr="00D67F89" w:rsidRDefault="00D67F89" w:rsidP="00D67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7F89" w:rsidRDefault="00D67F89" w:rsidP="00D67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7F89" w:rsidRPr="00D67F89" w:rsidRDefault="00D67F89" w:rsidP="00D67F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67F89">
        <w:rPr>
          <w:rFonts w:ascii="Times New Roman" w:hAnsi="Times New Roman" w:cs="Times New Roman"/>
          <w:b/>
          <w:i/>
        </w:rPr>
        <w:t>(Publicação no DOU n.º 92, de 15.05.2013, Seção 1, página 17/18</w:t>
      </w:r>
      <w:proofErr w:type="gramStart"/>
      <w:r w:rsidRPr="00D67F89">
        <w:rPr>
          <w:rFonts w:ascii="Times New Roman" w:hAnsi="Times New Roman" w:cs="Times New Roman"/>
          <w:b/>
          <w:i/>
        </w:rPr>
        <w:t>)</w:t>
      </w:r>
      <w:proofErr w:type="gramEnd"/>
    </w:p>
    <w:sectPr w:rsidR="00D67F89" w:rsidRPr="00D67F89" w:rsidSect="00D67F8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89" w:rsidRDefault="00D67F89" w:rsidP="00D67F89">
      <w:pPr>
        <w:spacing w:after="0" w:line="240" w:lineRule="auto"/>
      </w:pPr>
      <w:r>
        <w:separator/>
      </w:r>
    </w:p>
  </w:endnote>
  <w:endnote w:type="continuationSeparator" w:id="0">
    <w:p w:rsidR="00D67F89" w:rsidRDefault="00D67F89" w:rsidP="00D6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490856"/>
      <w:docPartObj>
        <w:docPartGallery w:val="Page Numbers (Bottom of Page)"/>
        <w:docPartUnique/>
      </w:docPartObj>
    </w:sdtPr>
    <w:sdtContent>
      <w:p w:rsidR="00D67F89" w:rsidRDefault="00D67F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7F89" w:rsidRDefault="00D67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89" w:rsidRDefault="00D67F89" w:rsidP="00D67F89">
      <w:pPr>
        <w:spacing w:after="0" w:line="240" w:lineRule="auto"/>
      </w:pPr>
      <w:r>
        <w:separator/>
      </w:r>
    </w:p>
  </w:footnote>
  <w:footnote w:type="continuationSeparator" w:id="0">
    <w:p w:rsidR="00D67F89" w:rsidRDefault="00D67F89" w:rsidP="00D67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9"/>
    <w:rsid w:val="003607FD"/>
    <w:rsid w:val="00C20CD9"/>
    <w:rsid w:val="00D442FB"/>
    <w:rsid w:val="00D67F89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7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F89"/>
  </w:style>
  <w:style w:type="paragraph" w:styleId="Rodap">
    <w:name w:val="footer"/>
    <w:basedOn w:val="Normal"/>
    <w:link w:val="RodapChar"/>
    <w:uiPriority w:val="99"/>
    <w:unhideWhenUsed/>
    <w:rsid w:val="00D67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7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F89"/>
  </w:style>
  <w:style w:type="paragraph" w:styleId="Rodap">
    <w:name w:val="footer"/>
    <w:basedOn w:val="Normal"/>
    <w:link w:val="RodapChar"/>
    <w:uiPriority w:val="99"/>
    <w:unhideWhenUsed/>
    <w:rsid w:val="00D67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1492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2013-05-15T10:53:00Z</dcterms:created>
  <dcterms:modified xsi:type="dcterms:W3CDTF">2013-05-15T11:13:00Z</dcterms:modified>
</cp:coreProperties>
</file>