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BB" w:rsidRPr="00163ABB" w:rsidRDefault="00163ABB" w:rsidP="0016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ABB">
        <w:rPr>
          <w:rFonts w:ascii="Times New Roman" w:hAnsi="Times New Roman" w:cs="Times New Roman"/>
          <w:b/>
        </w:rPr>
        <w:t>MINISTÉRIO DA EDUCAÇÃO</w:t>
      </w:r>
    </w:p>
    <w:p w:rsidR="00163ABB" w:rsidRPr="00163ABB" w:rsidRDefault="00163ABB" w:rsidP="0016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ABB">
        <w:rPr>
          <w:rFonts w:ascii="Times New Roman" w:hAnsi="Times New Roman" w:cs="Times New Roman"/>
          <w:b/>
        </w:rPr>
        <w:t>GABINETE DO MINISTRO</w:t>
      </w:r>
    </w:p>
    <w:p w:rsidR="00163ABB" w:rsidRPr="00163ABB" w:rsidRDefault="00163ABB" w:rsidP="0016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AB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63ABB">
        <w:rPr>
          <w:rFonts w:ascii="Times New Roman" w:hAnsi="Times New Roman" w:cs="Times New Roman"/>
          <w:b/>
        </w:rPr>
        <w:t xml:space="preserve"> 554, DE 20 DE JUNHO DE 2013(*)</w:t>
      </w:r>
    </w:p>
    <w:p w:rsidR="00163ABB" w:rsidRDefault="00163ABB" w:rsidP="007E024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63ABB" w:rsidRDefault="00163ABB" w:rsidP="007E024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Estabelece as diretrizes gerais para o processo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avaliação de desempenho para fins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progressão e de promoção dos servidores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pertencentes ao Plano de Carreiras e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Cargos de Magistério Federal das Instituições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Federais de Ensino vinculadas ao Ministério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Educação, de que trata o capítulo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III da Lei n</w:t>
      </w:r>
      <w:r w:rsidR="007E0249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12.772, de 28 de dezembro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2012.</w:t>
      </w:r>
    </w:p>
    <w:p w:rsidR="00163ABB" w:rsidRPr="00163ABB" w:rsidRDefault="00163ABB" w:rsidP="007E024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atribuição que lhe é conferida pelo art. 87, parágrafo único, inciso II,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Constituição, e tendo em vista o disposto nos artigos 1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>, 2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>, 12, 13,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14, 15 e 34 da Lei n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12.772, de 28 de dezembro de 2012, com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redação alterada pela Medida Provisória n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614, de 14 de maio de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2013, e considerando ainda que, conforme art. 1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>, § 5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>, da referida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Lei n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12.772, de 2012, o regime jurídico dos cargos do Plano de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Carreiras e Cargos de Magistério Federal é, genericamente, o instituído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pela Lei n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8.112, de 11 de dezembro de 1990, resolve: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Ficam estabelecidas as diretrizes gerais para o processo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avaliação de desempenho para fins de progressão e de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promoção dos servidores pertencentes ao Plano de Carreiras e Cargos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Magistério Federal das Instituições Federais de Ensino vinculadas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ao Ministério da Educação, de que trata o capítulo III da Lei n</w:t>
      </w:r>
      <w:r>
        <w:rPr>
          <w:rFonts w:ascii="Times New Roman" w:hAnsi="Times New Roman" w:cs="Times New Roman"/>
        </w:rPr>
        <w:t xml:space="preserve">º </w:t>
      </w:r>
      <w:r w:rsidRPr="00163ABB">
        <w:rPr>
          <w:rFonts w:ascii="Times New Roman" w:hAnsi="Times New Roman" w:cs="Times New Roman"/>
        </w:rPr>
        <w:t>12.772, de 28 de dezembro de 2012, com redação alterada pela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Medida Provisória n</w:t>
      </w:r>
      <w:r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614, de 14 de maio de 2013.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Para os fins do disposto no caput, progressão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é a passagem do servidor para o nível de vencimento imediatamente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superior dentro de uma mesma classe e, promoção, a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passagem do servidor de uma classe para outra subsequente.</w:t>
      </w:r>
    </w:p>
    <w:p w:rsid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O desenvolvimento na Carreira de Magistério Superior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ocorrerá mediante progressão funcional e promoção.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progressão na Carreira de Magistério Superior ocorrerá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base nos critérios gerais estabelecidos na Lei n</w:t>
      </w:r>
      <w:r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12.772, de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2012, e observará, cumulativamente: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o cumprimento do interstício de 24 (vinte e quatro) meses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efetivo exercício em cada nível; e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aprovação em avaliação de desempenho.</w:t>
      </w:r>
    </w:p>
    <w:p w:rsidR="00D442F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2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promoção ocorrerá observados o interstício mínimo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24 (vinte e quatro) meses no último nível de cada classe antecedente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àquela para a qual se dará a promoção e, ainda, as seguintes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condições: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para a Classe B, com denominação de Professor Assistente: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 aprovado em processo de avaliação de desempenho;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para a Classe C, com denominação de Professor Adjunto: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 aprovado em processo de avaliação de desempenho;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para a Classe D, com denominação de Professor Associado: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a) possuir o título de doutor; e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b) ser aprovado em processo de avaliação de desempenho; e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para a Classe E, com denominação de Professor Titular: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a) possuir o título de doutor;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b) ser aprovado em processo de avaliação de desempenho; e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c) lograr aprovação de memorial que deverá considerar as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atividades de ensino, pesquisa, extensão, gestão acadêmica e produção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profissional relevante, ou defesa de tese acadêmica inédita.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O desenvolvimento na Carreira de Magistério do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Ensino Básico, Técnico e Tecnológico ocorrerá mediante progressão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funcional e promoção, na forma disposta na Lei no 12.772, de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2012.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§ 1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progressão na Carreira de Magistério do Ensino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Básico, Técnico e Tecnológico ocorrerá com base nos critérios gerais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estabelecidos na Lei n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12.772, de 2012, e observará, cumulativamente: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o cumprimento do interstício de 24 (vinte e quatro) meses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efetivo exercício em cada nível; e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aprovação em avaliação de desempenho individual.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2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promoção ocorrerá observados o interstício mínimo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24 (vinte e quatro) meses no último nível de cada classe antecedente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àquela para a qual se dará a promoção e, ainda, as seguintes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condições: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para a Classe D II: ser aprovado em processo de avaliação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desempenho;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para a Classe D III: ser aprovado em processo de avaliação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desempenho;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para a Classe D IV: ser aprovado em processo de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avaliação de desempenho; e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para a Classe Titular: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a) possuir o título de doutor;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b) ser aprovado em processo de avaliação de desempenho; e</w:t>
      </w:r>
    </w:p>
    <w:p w:rsidR="00BC43C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c) lograr aprovação de memorial que deverá considerar as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atividades de ensino, pesquisa, extensão, gestão acadêmica e produção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profissional relevante, ou de defesa de tese acadêmica inédita.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3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Aos servidores ocupantes de cargos da Carreira de Magistério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Ensino Básico, Técnico e Tecnológico do Plano de Carreiras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Cargos de Magistério Federal, na data de 1o de março de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2013, será aplicado o interstício de 18 (dezoito) meses, para a primeira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progressão a ser realizada, observando os critérios de desenvolvimento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na Carreira, estabelecidos na Lei n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12.772, de 2012.</w:t>
      </w:r>
    </w:p>
    <w:p w:rsidR="00BC43C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progressão funcional de um para outro nível, dentro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mesma classe, far-se-á exclusivamente mediante avaliação de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desempenho, respeitado o interstício legalmente previsto.</w:t>
      </w:r>
    </w:p>
    <w:p w:rsidR="00BC43C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5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avaliação de desempenho para a progressão de que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trata o artigo 4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obedecerá ao disposto nos artigos 12 e 14 da Lei n</w:t>
      </w:r>
      <w:r w:rsidR="00BC43CB">
        <w:rPr>
          <w:rFonts w:ascii="Times New Roman" w:hAnsi="Times New Roman" w:cs="Times New Roman"/>
        </w:rPr>
        <w:t xml:space="preserve">º </w:t>
      </w:r>
      <w:r w:rsidRPr="00163ABB">
        <w:rPr>
          <w:rFonts w:ascii="Times New Roman" w:hAnsi="Times New Roman" w:cs="Times New Roman"/>
        </w:rPr>
        <w:t>12.772, de 2012, e aos critérios regulamentares deste ato normativo,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bem como às normas procedimentais estabelecidas pelo Conselho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Superior competente da Instituição Federal de Ensino, incidindo sobre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as atividades relacionadas a ensino, pesquisa, extensão e gestão, avaliados,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também, a assiduidade, responsabilidade e qualidade do trabalho.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6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avaliação para a progressão funcional na Classe A,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as denominações de Professor Adjunto A, Professor Assistente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A, e Professor Auxiliar, Classe B, com a denominação de Professor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Assistente e Classe C, com a denominação de Professor Adjunto,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levará em consideração, entre outros, os seguintes elementos:</w:t>
      </w:r>
      <w:r w:rsidR="00BC43CB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desempenho didático, avaliado com a participação do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corpo discente;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orientação de estudantes de Mestrado e Doutorado, de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monitores, estagiários ou bolsistas institucionais, bem como de alunos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em seus trabalhos de conclusão de curso;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participação em bancas examinadoras de monografia, de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dissertações, de teses e de concurso público;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cursos ou estágios de aperfeiçoamento, especialização 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atualização, bem como obtenção de créditos e títulos de pós-graduação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stricto sensu, exceto quando contabilizados para fins de promoção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acelerada;</w:t>
      </w:r>
    </w:p>
    <w:p w:rsidR="00BC43C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produção científica, de inovação, técnica ou artística;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atividade de extensão à comunidade, de cursos e de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serviços;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exercício de funções de direção, coordenação, assessoramento,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chefia e assistência na própria IFE ou em órgãos dos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Ministérios da Educação, da Cultura e de Ciência, Tecnologia e Inovação,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ou outro relacionado à área de atuação do docente;</w:t>
      </w:r>
    </w:p>
    <w:p w:rsidR="00BC43C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representação, compreendendo a participação em órgãos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colegiados na IFE ou em órgão dos Ministérios da Educação, da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Cultura e da Ciência, Tecnologia e Inovação, ou outro relacionado à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área de atuação do docente, na condição de indicados ou eleitos; e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demais atividades de gestão no âmbito da IFE, podendo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 considerada a representação sindical, desde que o servidor não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esteja licenciado nos termos do art. 92 da Lei n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8.112, de 1990.</w:t>
      </w:r>
    </w:p>
    <w:p w:rsidR="00BC43C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Art. 7</w:t>
      </w:r>
      <w:r w:rsidR="00BC43CB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avaliação para a progressão funcional nas Classes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DI, DII, DIII e DIV da Carreira de Ensino Básico, Técnico e Tecnológico,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levará em consideração, entre outros, os seguintes elementos: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atuação no ensino básico, técnico e tecnológico, em todos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os níveis e modalidades, observando normatização interna relativa à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atividade docente na IFE;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desempenho didático, avaliado com a participação do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corpo discente, conforme normatização própria da IFE;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orientação de estudantes em estágios, monitorias, bolsas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pesquisa e inovação, bolsas de extensão, projetos integradores,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trabalhos de conclusão de cursos e na pós-graduação lato e stricto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sensu;</w:t>
      </w:r>
    </w:p>
    <w:p w:rsidR="00BC43C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participação em bancas examinadoras de monografia, de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dissertações, de teses e de concurso público;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cursos ou estágios de aperfeiçoamento, especialização e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atualização, bem como obtenção de créditos e títulos de pós-graduação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stricto sensu, exceto quando contabilizados para fins de promoção</w:t>
      </w:r>
      <w:r w:rsidR="00BC43CB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acelerada;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produção científica, técnica, tecnológica ou artística;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participação em projetos de inovação tecnológica;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atividade de extensão à comunidade, de cursos e de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serviços tecnológicos;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exercício de funções de direção, coordenação, assessoramento,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chefia e assistência na própria IFE ou em órgãos dos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Ministérios da Educação, da Cultura e da Ciência, Tecnologia e Inovação,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ou outro relacionado à área de atuação do docente;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 - representação, compreendendo a participação em órgãos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colegiados na IFE ou em órgão dos Ministérios da Educação, da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Cultura e da Ciência, Tecnologia e Inovação, ou outro relacionado à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área de atuação do docente, na condição de indicados ou eleitos; e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 - demais atividades de gestão no âmbito da IFE, podendo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 considerada a representação sindical, desde que o servidor não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esteja licenciado nos termos do art. 92 da Lei n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8.112, de 1990.</w:t>
      </w:r>
      <w:r w:rsidR="00220200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8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avaliação de desempenho acadêmico para promoção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 classe D, denominada Professor Associado, da Carreira do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Magistério Superior, será realizada por comissão examinadora constituída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especialmente para este fim, no âmbito de cada Instituição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Federal de Ensino.</w:t>
      </w:r>
    </w:p>
    <w:p w:rsidR="00220200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Caberá ao Conselho Superior da IFE definir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as atribuições e forma de funcionamento das comissões, bem como 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demais procedimentos específicos para avaliação do desempenho acadêmico.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9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avaliação para acesso à classe D, denominada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Professor Associado, da Carreira do Magistério Superior, e para progressão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um nível para outro dentro desta Classe, levará em consideração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 desempenho acadêmico nas seguintes atividades: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de ensino na educação superior, conforme art. 44 da Lei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9.394, de 20 de dezembro de 1996, assim compreendidas aquelas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formalmente incluídas nos planos de integralização curricular dos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cursos de graduação e pós-graduação da IFE;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produção intelectual, abrangendo a produção científica,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artística, técnica e cultural, representada por publicações ou formas de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expressão usuais e pertinentes aos ambientes acadêmicos específicos,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avaliadas de acordo com a sistemática da CAPES e CNPq para as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diferentes áreas do conhecimento;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de pesquisa, relacionada a projetos de pesquisa aprovados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pelas instâncias competentes de cada instituição;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de extensão, relacionada a projetos de extensão aprovados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pelas instâncias competentes de cada instituição;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de gestão, compreendendo atividades de direção, assessoramento,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chefia e coordenação na IFE, ou em órgão dos Ministérios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Educação, da Cultura e da Ciência, Tecnologia e Inovação,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ou outro, relacionado à área de atuação do docente;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representação, compreendendo a participação em órgãos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colegiados, na IFE, ou em órgão dos Ministérios da Educação, da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Cultura e da Ciência, Tecnologia e Inovação, ou outro, relacionado à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área de atuação do docente, na condição de indicados ou eleitos;</w:t>
      </w:r>
    </w:p>
    <w:p w:rsidR="00220200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VII - demais atividades de gestão no âmbito da IFE, podendo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 considerada a representação sindical, desde que o servidor não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esteja licenciado nos termos do art. 92 da Lei n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8.112, de 1990; e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outras atividades não incluídas no plano de integralização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curricular de cursos e programas oferecidos pela instituição,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tais como orientação e supervisão, participação em banca examinadora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outras desenvolvidas na instituição.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Para progressão à classe D, denominada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Professor Associado, da Carreira do Magistério Superior, o docente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deverá obrigatoriamente comprovar a realização das atividades constantes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nos incisos I e II deste artigo, exceto no caso dos ocupantes de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cargo de direção e assessoramento, que nessa condição estejam dispensados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atividade constante do inciso I.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10. Os docentes aprovados no estágio probatório do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respectivo cargo que atenderem aos seguintes requisitos de titulação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farão jus a processo de aceleração da promoção: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de qualquer nível da Classe A, com as denominações de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Professor Assistente A e Professor Auxiliar para o nível 1 da Classe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B, com a denominação de Professor Assistente, pela apresentação de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titulação de Mestre;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de qualquer nível da Classe A, com as denominações de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Professor Adjunto A, Professor Assistente A, e Professor Auxiliar, 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classe B, com a denominação de Professor Assistente, para o nível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 da Classe C, com a denominação de Professor Adjunto, pela apresentação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titulação de doutor;</w:t>
      </w:r>
    </w:p>
    <w:p w:rsidR="00220200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de qualquer nível da Classe D I para o nível 1 da classe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 II, pela apresentação de título de especialista; e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de qualquer nível das Classes D I e D II para o nível 1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classe D III, pela apresentação de título de mestre ou doutor.</w:t>
      </w:r>
      <w:r w:rsidR="00220200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Aos servidores ocupantes do Plano de Carreiras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Cargos de Magistério Federal, em 1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de março de 2013, é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permitida a aceleração da promoção de que trata este artigo ainda que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 encontrem em estágio probatório no cargo.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11. O processo de avaliação de desempenho acadêmico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será acompanhado pela Comissão Permanente de Pessoal Docente,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constituída conforme o art. 26 da Lei n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12.772, de 2012.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12. As diretrizes para promoção à classe de professor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titular da Carreira de Magistério Superior e da Carreira de Magistério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Ensino Básico, Técnico e Tecnológico serão regulamentadas em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ato especifico.</w:t>
      </w:r>
    </w:p>
    <w:p w:rsidR="00163ABB" w:rsidRPr="00163ABB" w:rsidRDefault="00163ABB" w:rsidP="00163A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13 Esta Portaria entra em vigor na data da sua publicação.</w:t>
      </w:r>
    </w:p>
    <w:p w:rsidR="00163ABB" w:rsidRPr="00163ABB" w:rsidRDefault="00163ABB" w:rsidP="0016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ABB">
        <w:rPr>
          <w:rFonts w:ascii="Times New Roman" w:hAnsi="Times New Roman" w:cs="Times New Roman"/>
          <w:b/>
        </w:rPr>
        <w:t>ALOIZIO MERCADANTE OLIVA</w:t>
      </w:r>
    </w:p>
    <w:p w:rsid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(*) Republicada por ter saído, no DOU de 21-6-2013, Seção 1, págs.</w:t>
      </w:r>
      <w:r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31 e 32, com incorreção no original.</w:t>
      </w:r>
    </w:p>
    <w:p w:rsid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200" w:rsidRPr="00220200" w:rsidRDefault="00220200" w:rsidP="002202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20200">
        <w:rPr>
          <w:rFonts w:ascii="Times New Roman" w:hAnsi="Times New Roman" w:cs="Times New Roman"/>
          <w:b/>
          <w:i/>
        </w:rPr>
        <w:t>(Publicação no DOU n.º 140, de 23.07.2013, Seção 1, página 10/11)</w:t>
      </w:r>
    </w:p>
    <w:p w:rsidR="00220200" w:rsidRDefault="00220200" w:rsidP="0016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ABB" w:rsidRPr="00163ABB" w:rsidRDefault="00163ABB" w:rsidP="0016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ABB">
        <w:rPr>
          <w:rFonts w:ascii="Times New Roman" w:hAnsi="Times New Roman" w:cs="Times New Roman"/>
          <w:b/>
        </w:rPr>
        <w:t>MINISTÉRIO DA EDUCAÇÃO</w:t>
      </w:r>
    </w:p>
    <w:p w:rsidR="00163ABB" w:rsidRPr="00163ABB" w:rsidRDefault="00163ABB" w:rsidP="0016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ABB">
        <w:rPr>
          <w:rFonts w:ascii="Times New Roman" w:hAnsi="Times New Roman" w:cs="Times New Roman"/>
          <w:b/>
        </w:rPr>
        <w:t>GABINETE DO MINISTRO</w:t>
      </w:r>
    </w:p>
    <w:p w:rsidR="00163ABB" w:rsidRPr="00163ABB" w:rsidRDefault="00163ABB" w:rsidP="0016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ABB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163ABB">
        <w:rPr>
          <w:rFonts w:ascii="Times New Roman" w:hAnsi="Times New Roman" w:cs="Times New Roman"/>
          <w:b/>
        </w:rPr>
        <w:t xml:space="preserve"> 15, DE 22 DE JULHO DE 2013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O MINISTRO DE ESTADO DA EDUCAÇÃO, no uso de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suas atribuições e considerando o disposto na Medida Provisória n</w:t>
      </w:r>
      <w:r w:rsidR="00220200">
        <w:rPr>
          <w:rFonts w:ascii="Times New Roman" w:hAnsi="Times New Roman" w:cs="Times New Roman"/>
        </w:rPr>
        <w:t xml:space="preserve">º </w:t>
      </w:r>
      <w:r w:rsidRPr="00163ABB">
        <w:rPr>
          <w:rFonts w:ascii="Times New Roman" w:hAnsi="Times New Roman" w:cs="Times New Roman"/>
        </w:rPr>
        <w:t>621, de 8 de julho de 2013; no Art. 9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>, IX da Lei n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9.394, de 20 de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dezembro de 1996; no Decreto n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5.773, de 09 de maio de 2006; na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Portaria Normativa n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40, de 12 de dezembro de 2007; e na Portaria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Normativa n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2, de 1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de fevereiro de 2013, do Ministério da Educação,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resolve: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Fica instituída a Política Nacional de Expansão das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Escolas Médicas das Instituições Federais de Educação Superior -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IFES, com respaldo no Art. 2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>, I da Medida Provisória n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621, de 8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julho de 2013, no âmbito do Programa Mais Médicos, com 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seguintes objetivos: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criação de novos cursos de graduação em medicina; e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aumento de vagas nos cursos de graduação em medicina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atualmente existentes.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Art. 2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Compete à Secretaria de Regulação e Supervisão da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Educação Superior - SERES a emissão dos atos autorizativos necessários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para a concretização da Política Nacional de Expansão das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Escolas Médicas das Instituições Federais de Educação Superior.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As propostas de cursos apresentadas pelas IFES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deverão ser analisadas pela SERES quanto ao: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projeto pedagógico do curso;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perfil de corpo docente; e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projeto de infraestrutura.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1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O atendimento ao Sistema Único de Saúde </w:t>
      </w:r>
      <w:r w:rsidR="00220200">
        <w:rPr>
          <w:rFonts w:ascii="Times New Roman" w:hAnsi="Times New Roman" w:cs="Times New Roman"/>
        </w:rPr>
        <w:t>–</w:t>
      </w:r>
      <w:r w:rsidRPr="00163ABB">
        <w:rPr>
          <w:rFonts w:ascii="Times New Roman" w:hAnsi="Times New Roman" w:cs="Times New Roman"/>
        </w:rPr>
        <w:t xml:space="preserve"> SUS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deverá ser o elemento central do projeto pedagógico do curso.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2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SERES observará, na análise dos pedidos de autorização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destes cursos, no que couber, as regras fixadas na Portaria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Normativa n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2, de 1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de fevereiro de 2013.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3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Cabe à Secretaria de Educaç</w:t>
      </w:r>
      <w:r w:rsidR="00220200">
        <w:rPr>
          <w:rFonts w:ascii="Times New Roman" w:hAnsi="Times New Roman" w:cs="Times New Roman"/>
        </w:rPr>
        <w:t>ã</w:t>
      </w:r>
      <w:r w:rsidRPr="00163ABB">
        <w:rPr>
          <w:rFonts w:ascii="Times New Roman" w:hAnsi="Times New Roman" w:cs="Times New Roman"/>
        </w:rPr>
        <w:t xml:space="preserve">o Superior - </w:t>
      </w:r>
      <w:proofErr w:type="spellStart"/>
      <w:r w:rsidRPr="00163ABB">
        <w:rPr>
          <w:rFonts w:ascii="Times New Roman" w:hAnsi="Times New Roman" w:cs="Times New Roman"/>
        </w:rPr>
        <w:t>SESu</w:t>
      </w:r>
      <w:proofErr w:type="spellEnd"/>
      <w:r w:rsidRPr="00163ABB">
        <w:rPr>
          <w:rFonts w:ascii="Times New Roman" w:hAnsi="Times New Roman" w:cs="Times New Roman"/>
        </w:rPr>
        <w:t xml:space="preserve"> assegurar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 cumprimento pelas IFES dos requisitos de qualidade definidos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na Portaria Normativa n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2, de 2013.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SERES constituirá, com o objetivo de monitorar 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implantação e a oferta satisfatória dos cursos autorizados com base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nesta Portaria Normativa, Comissão Especial de Avaliaç</w:t>
      </w:r>
      <w:r w:rsidR="00220200">
        <w:rPr>
          <w:rFonts w:ascii="Times New Roman" w:hAnsi="Times New Roman" w:cs="Times New Roman"/>
        </w:rPr>
        <w:t>ã</w:t>
      </w:r>
      <w:r w:rsidRPr="00163ABB">
        <w:rPr>
          <w:rFonts w:ascii="Times New Roman" w:hAnsi="Times New Roman" w:cs="Times New Roman"/>
        </w:rPr>
        <w:t>o de Escolas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Médicas - CEAEM.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1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A CEAEM realizará avaliaç</w:t>
      </w:r>
      <w:r w:rsidR="00220200">
        <w:rPr>
          <w:rFonts w:ascii="Times New Roman" w:hAnsi="Times New Roman" w:cs="Times New Roman"/>
        </w:rPr>
        <w:t>õ</w:t>
      </w:r>
      <w:r w:rsidRPr="00163ABB">
        <w:rPr>
          <w:rFonts w:ascii="Times New Roman" w:hAnsi="Times New Roman" w:cs="Times New Roman"/>
        </w:rPr>
        <w:t>es in loco: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na fase de execução dos projetos de implantação dos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cursos; e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após o início da oferta, em periodicidade anual, até 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emissão do ato de reconhecimento do curso.</w:t>
      </w:r>
    </w:p>
    <w:p w:rsidR="00220200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2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Os relatórios de avaliaç</w:t>
      </w:r>
      <w:r w:rsidR="00220200">
        <w:rPr>
          <w:rFonts w:ascii="Times New Roman" w:hAnsi="Times New Roman" w:cs="Times New Roman"/>
        </w:rPr>
        <w:t>ã</w:t>
      </w:r>
      <w:r w:rsidRPr="00163ABB">
        <w:rPr>
          <w:rFonts w:ascii="Times New Roman" w:hAnsi="Times New Roman" w:cs="Times New Roman"/>
        </w:rPr>
        <w:t>o in loco produzidos pela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CEAEM serão considerados como referencial para a análise do pedido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reconhecimento dos cursos de medicina criados com base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nesta Portaria.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Compete à </w:t>
      </w:r>
      <w:proofErr w:type="spellStart"/>
      <w:r w:rsidRPr="00163ABB">
        <w:rPr>
          <w:rFonts w:ascii="Times New Roman" w:hAnsi="Times New Roman" w:cs="Times New Roman"/>
        </w:rPr>
        <w:t>SESu</w:t>
      </w:r>
      <w:proofErr w:type="spellEnd"/>
      <w:r w:rsidRPr="00163ABB">
        <w:rPr>
          <w:rFonts w:ascii="Times New Roman" w:hAnsi="Times New Roman" w:cs="Times New Roman"/>
        </w:rPr>
        <w:t xml:space="preserve"> assegurar, com o aporte dos recursos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necessários, a implantação e o funcionamento satisfatório dos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cursos de medicina criados com base nesta Portaria.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5</w:t>
      </w:r>
      <w:r w:rsidR="00220200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Esta Portaria entra em vigor na data de sua publicação.</w:t>
      </w:r>
    </w:p>
    <w:p w:rsidR="00163ABB" w:rsidRPr="00220200" w:rsidRDefault="00163ABB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00">
        <w:rPr>
          <w:rFonts w:ascii="Times New Roman" w:hAnsi="Times New Roman" w:cs="Times New Roman"/>
          <w:b/>
        </w:rPr>
        <w:t>ALOIZIO MERCADANTE OLIVA</w:t>
      </w:r>
    </w:p>
    <w:p w:rsidR="00220200" w:rsidRDefault="00220200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200" w:rsidRPr="00220200" w:rsidRDefault="00220200" w:rsidP="002202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20200">
        <w:rPr>
          <w:rFonts w:ascii="Times New Roman" w:hAnsi="Times New Roman" w:cs="Times New Roman"/>
          <w:b/>
          <w:i/>
        </w:rPr>
        <w:t>(Publicação no DOU n.º 140, de 23.07.2013, Seção 1, página 11)</w:t>
      </w:r>
    </w:p>
    <w:p w:rsidR="00220200" w:rsidRDefault="00220200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200" w:rsidRDefault="00220200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63ABB" w:rsidRPr="00220200" w:rsidRDefault="00163ABB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00">
        <w:rPr>
          <w:rFonts w:ascii="Times New Roman" w:hAnsi="Times New Roman" w:cs="Times New Roman"/>
          <w:b/>
        </w:rPr>
        <w:t>COORDENAÇÃO DE APERFEIÇOAMENTO</w:t>
      </w:r>
    </w:p>
    <w:p w:rsidR="00163ABB" w:rsidRPr="00220200" w:rsidRDefault="00163ABB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00">
        <w:rPr>
          <w:rFonts w:ascii="Times New Roman" w:hAnsi="Times New Roman" w:cs="Times New Roman"/>
          <w:b/>
        </w:rPr>
        <w:t>DE PESSOAL DE NÍVEL SUPERIOR</w:t>
      </w:r>
    </w:p>
    <w:p w:rsidR="00163ABB" w:rsidRPr="00220200" w:rsidRDefault="00163ABB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00">
        <w:rPr>
          <w:rFonts w:ascii="Times New Roman" w:hAnsi="Times New Roman" w:cs="Times New Roman"/>
          <w:b/>
        </w:rPr>
        <w:t>PORTARIA N</w:t>
      </w:r>
      <w:r w:rsidR="00220200">
        <w:rPr>
          <w:rFonts w:ascii="Times New Roman" w:hAnsi="Times New Roman" w:cs="Times New Roman"/>
          <w:b/>
        </w:rPr>
        <w:t>º</w:t>
      </w:r>
      <w:r w:rsidRPr="00220200">
        <w:rPr>
          <w:rFonts w:ascii="Times New Roman" w:hAnsi="Times New Roman" w:cs="Times New Roman"/>
          <w:b/>
        </w:rPr>
        <w:t xml:space="preserve"> 96, DE 18 DE JULHO DE 2013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O PRESIDENTE DA COORDENAÇÃO DE APERFEIÇOAMENTO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PESSOAL DE NÍVEL SUPERIOR - CAPES, no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uso das atribuições conferidas pelo art. 26 do Decreto nº 7.692, de 02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março de 2012, e considerando a necessidade de aperfeiçoar 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atualizar as normas do Programa Institucional de Bolsa de Iniciação à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Docência, resolve: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1º Fica aprovado, na forma dos Anexos I e II, o Regulamento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Programa Institucional de Bolsa de Iniciação à Docência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(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).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2º O Regulamento ora aprovado estará disponível, a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partir desta data, no endereço: www.capes.gov.br.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3º Esta Portaria entra em vigor na data de sua publicação.</w:t>
      </w:r>
      <w:r w:rsidR="00220200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4º Fica revogada a Portaria nº 260, de 30 de outubro de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2010.</w:t>
      </w:r>
    </w:p>
    <w:p w:rsidR="00163ABB" w:rsidRPr="00220200" w:rsidRDefault="00163ABB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00">
        <w:rPr>
          <w:rFonts w:ascii="Times New Roman" w:hAnsi="Times New Roman" w:cs="Times New Roman"/>
          <w:b/>
        </w:rPr>
        <w:t>JORGE ALMEIDA GUIMARÃES</w:t>
      </w:r>
    </w:p>
    <w:p w:rsidR="00220200" w:rsidRPr="00220200" w:rsidRDefault="00220200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3ABB" w:rsidRPr="00220200" w:rsidRDefault="00163ABB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00">
        <w:rPr>
          <w:rFonts w:ascii="Times New Roman" w:hAnsi="Times New Roman" w:cs="Times New Roman"/>
          <w:b/>
        </w:rPr>
        <w:t>ANEXO I</w:t>
      </w:r>
    </w:p>
    <w:p w:rsidR="00220200" w:rsidRPr="00163ABB" w:rsidRDefault="00220200" w:rsidP="002202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REGULAMENTO DO PROGRAMA INSTITUCIONAL DE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BOLSA DE INICIAÇÃO À DOCÊNCIA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CAPÍTULO I - DISPOSIÇÕES GERAIS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 - Da Definição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Art. 1º O Programa Institucional de Bolsa de Iniciação à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Docência, doravante denominado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, tem como base legal a Lei nº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9.394/1996, a Lei nº 12.796/2013 e o Decreto nº 7.219/2010.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Art. 2º 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é um programa da Coordenação de Aperfeiçoamento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Pessoal de Nível Superior (Capes) que tem por finalidade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fomentar a iniciação à docência, contribuindo para o aperfeiçoamento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formação de docentes em nível superior e para 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melhoria da qualidade da educação básica pública brasileira.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Art. 3º Os projetos apoiados no âmbito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são propostos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por instituições de ensino superior (IES) e desenvolvidos por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grupos de </w:t>
      </w:r>
      <w:proofErr w:type="spellStart"/>
      <w:r w:rsidRPr="00163ABB">
        <w:rPr>
          <w:rFonts w:ascii="Times New Roman" w:hAnsi="Times New Roman" w:cs="Times New Roman"/>
        </w:rPr>
        <w:t>licenciandos</w:t>
      </w:r>
      <w:proofErr w:type="spellEnd"/>
      <w:r w:rsidRPr="00163ABB">
        <w:rPr>
          <w:rFonts w:ascii="Times New Roman" w:hAnsi="Times New Roman" w:cs="Times New Roman"/>
        </w:rPr>
        <w:t xml:space="preserve"> sob supervisão de professores de educação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básica e orientação de professores das IES.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O apoio do programa consiste na concessão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bolsas aos integrantes do projeto e no repasse de recursos financeiros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para custear suas atividades.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II - Dos Objetivos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Art. 4º São objetivos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incentivar a formação de docentes em nível superior para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 educação 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contribuir para a valorização do magistério;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elevar a qualidade da formação inicial de professores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nos cursos de licenciatura, promovendo a integração entre educação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superior e educação 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IV - inserir os </w:t>
      </w:r>
      <w:proofErr w:type="spellStart"/>
      <w:r w:rsidRPr="00163ABB">
        <w:rPr>
          <w:rFonts w:ascii="Times New Roman" w:hAnsi="Times New Roman" w:cs="Times New Roman"/>
        </w:rPr>
        <w:t>licenciandos</w:t>
      </w:r>
      <w:proofErr w:type="spellEnd"/>
      <w:r w:rsidRPr="00163ABB">
        <w:rPr>
          <w:rFonts w:ascii="Times New Roman" w:hAnsi="Times New Roman" w:cs="Times New Roman"/>
        </w:rPr>
        <w:t xml:space="preserve"> no cotidiano de escolas da rede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pública de educação, proporcionando-lhes oportunidades de criação 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participação em experiências metodológicas, tecnológicas e práticas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docentes de caráter inovador e interdisciplinar que busquem a superação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problemas identificados no processo de ensino-aprendizagem;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incentivar escolas públicas de educação básica, mobilizando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seus professores como </w:t>
      </w:r>
      <w:proofErr w:type="spellStart"/>
      <w:r w:rsidRPr="00163ABB">
        <w:rPr>
          <w:rFonts w:ascii="Times New Roman" w:hAnsi="Times New Roman" w:cs="Times New Roman"/>
        </w:rPr>
        <w:t>co-formadores</w:t>
      </w:r>
      <w:proofErr w:type="spellEnd"/>
      <w:r w:rsidRPr="00163ABB">
        <w:rPr>
          <w:rFonts w:ascii="Times New Roman" w:hAnsi="Times New Roman" w:cs="Times New Roman"/>
        </w:rPr>
        <w:t xml:space="preserve"> dos futuros docentes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tornando-as protagonistas nos processos de formação inicial para 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magistério;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contribuir para a articulação entre teoria e prática necessárias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 formação dos docentes, elevando a qualidade das ações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acadêmicas nos cursos de licenciatura;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contribuir para que os estudantes de licenciatura se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insiram na cultura escolar do magistério, por meio da apropriação 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reflexão sobre instrumentos, saberes e peculiaridades do trabalho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docente.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CAPÍTULO II - DO PROJETO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 - Das Características do Projeto e dos Subprojetos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Art. 5º O projeto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tem caráter institucional, portanto,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cada instituição de ensino superior (IES) poderá possuir apenas um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projeto em andamento.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6º O projeto institucional deve abranger diferentes características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dimensões da iniciação à docência, entre as quais: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estudo do contexto educacional envolvendo ações nos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diferentes espaços escolares, como salas de aula, laboratórios, bibliotecas,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espaços recreativos e desportivos, ateliers, secretarias;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desenvolvimento de ações que valorizem o trabalho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coletivo, interdisciplinar e com intencionalidade pedagógica clara para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 processo de ensino-aprendizagem;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planejamento e execução de atividades nos espaços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formativos (escolas de educação básica e IES a eles agregando outros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ambientes culturais, científicos e tecnológicos, físicos e virtuais que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ampliem as oportunidades de construção de conhecimento), desenvolvidas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em níveis crescentes de complexidade em direção à autonomia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aluno em formação;</w:t>
      </w:r>
    </w:p>
    <w:p w:rsidR="00C8795D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participação nas atividades de planejamento do projeto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pedagógico da escola, bem como participação nas reuniões pedagógicas;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análise do processo de ensino-aprendizagem dos conteúdos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ligados ao subprojeto e também das diretrizes e currículos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educacionais da educação 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leitura e discussão de referenciais teóricos contemporâneos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educacionais para o estudo de casos didático-pedagógicos;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cotejamento da análise de casos didático-pedagógicos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a prática e a experiência dos professores das escolas de educação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básica, em articulação com seus saberes sobre a escola e sobre 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mediação didática dos conteúdos;</w:t>
      </w:r>
    </w:p>
    <w:p w:rsidR="00C8795D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VIII - desenvolvimento, testagem, execução e avaliação de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estratégias didático-pedagógicas e instrumentos educacionais, incluindo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 uso de tecnologias educacionais e diferentes recursos didáticos;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elaboração de ações no espaço escolar a partir do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diálogo e da articulação dos membros do programa, e destes com 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comunidade.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 - sistematização e registro das atividades em portfólio ou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instrumento equivalente de acompanhamento;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 - desenvolvimento de ações que estimulem a inovação, 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ética profissional, a criatividade, a inventividade e a interação dos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7º O projeto deve ser desenvolvido por meio da articulação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entre a IES e o sistema público de educação básica e deve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contemplar:</w:t>
      </w:r>
    </w:p>
    <w:p w:rsidR="00C8795D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 inserção dos estudantes de licenciatura nas escolas da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rede pública de ensino, espaço privilegiado da práxis docente;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o contexto educacional da região onde será desenvolvido;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atividades de socialização dos impactos e resultados;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aspectos relacionados à ampliação e ao aperfeiçoamento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uso da língua portuguesa e à capacidade comunicativa, oral 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escrita, como elementos centrais da formação dos professores;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questões socioambientais, éticas e a diversidade como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princípios de equidade social, que devem perpassar transversalmente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todos os subprojetos.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8º É recomendável que as instituições desenvolvam 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atividades do projeto em escolas: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que tenham obtido Índice de Desenvolvimento da Educação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Básica (</w:t>
      </w:r>
      <w:proofErr w:type="spellStart"/>
      <w:r w:rsidRPr="00163ABB">
        <w:rPr>
          <w:rFonts w:ascii="Times New Roman" w:hAnsi="Times New Roman" w:cs="Times New Roman"/>
        </w:rPr>
        <w:t>Ideb</w:t>
      </w:r>
      <w:proofErr w:type="spellEnd"/>
      <w:r w:rsidRPr="00163ABB">
        <w:rPr>
          <w:rFonts w:ascii="Times New Roman" w:hAnsi="Times New Roman" w:cs="Times New Roman"/>
        </w:rPr>
        <w:t>) abaixo da média nacional e naquelas que tenham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experiências bem sucedidas de ensino e aprendizagem, a fim de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apreender as diferentes realidades e necessidades da educação básica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e de contribuir para a elevação do </w:t>
      </w:r>
      <w:proofErr w:type="spellStart"/>
      <w:r w:rsidRPr="00163ABB">
        <w:rPr>
          <w:rFonts w:ascii="Times New Roman" w:hAnsi="Times New Roman" w:cs="Times New Roman"/>
        </w:rPr>
        <w:t>Ideb</w:t>
      </w:r>
      <w:proofErr w:type="spellEnd"/>
      <w:r w:rsidRPr="00163ABB">
        <w:rPr>
          <w:rFonts w:ascii="Times New Roman" w:hAnsi="Times New Roman" w:cs="Times New Roman"/>
        </w:rPr>
        <w:t>, compreendendo-o nos seus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aspectos descritivos, limites e possibilidades;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que aderiram aos programas e ações das Secretarias de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Educação e do Ministério da Educação, como as Escolas de Tempo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Integral, Ensino Médio Inovador, Programa Mais Educação, entre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outros.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9º O projeto institucional é composto por um ou mais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subprojetos, definidos pela área de conhecimento do curso de licenciatura.</w:t>
      </w:r>
      <w:r w:rsidR="00C8795D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As áreas das licenciaturas apoiadas pelo programa são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aquelas relacionadas à educação básica, nos seus níveis e modalidades,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à gestão educacional, definidas em edital.</w:t>
      </w:r>
    </w:p>
    <w:p w:rsidR="00C8795D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Cada projeto institucional poderá possuir apenas um subprojeto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por licenciatura/habilitação em cada campus/polo, respeitando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 faixa mínima e máxima de alunos por subprojeto.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3º As IES poderão apresentar subprojetos interdisciplinares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acordo com as normas estabelecidas em edital.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10. Em cada subprojeto deverá ser indicado o foco em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um ou mais níveis de ensino da Educação Básica: Educação Infantil,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Ensino Fundamental e Ensino Médio, inclusive a Educação Profissional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Técnica de Nível Médio.</w:t>
      </w:r>
    </w:p>
    <w:p w:rsidR="00C8795D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11. Cada subprojeto deverá ser composto por no mínimo: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- 05 (cinco) estudantes de licenciatura;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- 1 (um) coordenador de área;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- 1 (um) supervisor.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II - Da Seleção do Projeto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12. O projeto institucional será selecionado por meio de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chamada pública promovida pela Capes.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13. O projeto institucional deverá conter: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 estratégia a ser adotada para atuação dos bolsistas nas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escolas da rede pública de Educação Básica, de forma a privilegiar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ações articuladas entre as diferentes áreas ou, inclusive, com outras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instituições participantes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, evitando a dispersão de esforços;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 descrição das ações de inserção dos bolsistas nas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escolas, envolvendo o desenvolvimento das diferentes características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dimensões da iniciação à docência;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III - a estratégia a ser adotada para que o bolsista aperfeiçoe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 domínio da língua portuguesa, incluindo leitura, escrita e fala;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as formas de seleção, acompanhamento e avaliação dos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bolsistas;</w:t>
      </w:r>
    </w:p>
    <w:p w:rsidR="00C8795D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o plano de trabalho para a aplicação dos recursos do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programa, observando a legislação pertinente à execução das despesas;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a descrição da contrapartida oferecida pela instituição,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composta por no mínimo: espaço administrativo, disponibilidade de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servidor(es)/funcionário(s) para suporte administrativo do programa,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equipamentos para o desenvolvimento de rotinas administrativas, material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consumo para despesas de rotina e disponibilidade de ramal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telefônico institucional;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sistemática de registro e acompanhamento de egressos.</w:t>
      </w:r>
    </w:p>
    <w:p w:rsidR="00C8795D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O edital de seleção poderá acrescentar outras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exigências para a apresentação da proposta.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14. A seleção da proposta será realizada conforme 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seguintes etapas: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análise técnica: análise da formalidade, que será realizada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pela área técnica do programa, com a finalidade de verificar o atendimento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ao regulamento e às normas pertinentes ao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, o envio da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documentação solicitada e a adequação dos projetos às especificações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às condições estabelecidas em cada edital;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análise de mérito: avaliação do mérito dos projetos, que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será realizada por comissão de consultores ad hoc, especificamente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instituída para tal finalidade, a partir da indicação da Diretoria de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Formação de Professores da Educação Básica da Capes (DEB), composta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por especialistas na área de formação de professores.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15. A comissão ad hoc avaliará: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 relevância das propostas;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 concepção da proposta e adequação aos objetivos,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características e exigências mínimas para o desenvolvimento dos projetos;</w:t>
      </w:r>
      <w:r w:rsidR="00C8795D">
        <w:rPr>
          <w:rFonts w:ascii="Times New Roman" w:hAnsi="Times New Roman" w:cs="Times New Roman"/>
        </w:rPr>
        <w:t xml:space="preserve"> </w:t>
      </w:r>
    </w:p>
    <w:p w:rsidR="00C8795D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a implementação, execução e avaliação do projeto institucional;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a coerência dos subprojetos com o projeto institucional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que os abrange;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os resultados e os impactos para formação de professores,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apenas para as instituições que já tenham sido contempladas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recursos do programa em outros editais;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outros critérios exigidos em edital.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16. Após a análise, a comissão ad hoc poderá recomendar: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aprovação integral: para propostas que tenham os subprojetos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aprovados em sua totalidade e sem qualquer recomendação 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 atendida;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aprovação com recomendação: para propostas que não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tenham subprojeto reprovado, mas tenham alguma recomendação 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 atendida;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aprovação parcial: para propostas que tenham um ou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mais subprojetos reprovados;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não aprovação.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17. A seleção final considerará a correção de assimetrias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regionais, de acordo com critérios especificados em edital, e obedecerá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aos limites orçamentários também estipulados em edital.</w:t>
      </w:r>
      <w:r w:rsidR="00C8795D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18. O resultado final da seleção será submetido pela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DEB à presidência da Capes para homologação e publicação no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Diário Oficial da União - D.O.U.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CAPÍTULO III - DOS REQUISITOS PARA PARTICIPAÇÃO</w:t>
      </w:r>
      <w:r w:rsidR="00C8795D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DAS INSTITUIÇÕES DE ENSINO SUPERIOR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Art. 19. Pode participar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instituição habilitada de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acordo com cada edital e que: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possua curso de licenciatura legalmente constituído;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tenha sua sede e administração no país;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mantenha as condições de qualificação, habilitação e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idoneidade necessárias ao cumprimento e execução do projeto, no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caso de sua aprovação.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CAPÍTULO IV - DAS ATRIBUIÇÕES DAS INSTITUIÇÕES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ENVOLVIDAS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20. São consideradas instituições envolvidas no Programa</w:t>
      </w:r>
      <w:r w:rsidR="00DC27E4">
        <w:rPr>
          <w:rFonts w:ascii="Times New Roman" w:hAnsi="Times New Roman" w:cs="Times New Roman"/>
        </w:rPr>
        <w:t xml:space="preserve">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 Capes;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 instituição de ensino superior;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Art. 21. São atribuições da Capes: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realizar chamada pública para seleção de novos projetos;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elaborar diretrizes, atos normativos e orientações relacionadas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ao funcionamento do programa, bem como publicá-los e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divulgá-los a todos os interessados;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transferir os recursos financeiros destinados à execução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projetos aprovados e realizar os pagamentos das bolsas, de acordo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a sua disponibilidade orçamentária e financeira;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acompanhar, fiscalizar e avaliar a execução do 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promover, junto às instituições participantes, a correção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desvios e a implementação de medidas de aperfeiçoamento visando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garantir a qualidade 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decidir sobre a aprovação de alterações solicitadas no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analisar a prestação de contas e os relatórios de atividades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relativos à execução do projeto, nas áreas financeira e técnica,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respectivamente.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22. São atribuições da instituição de ensino superior: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oferecer, formalmente, contrapartida mínima para a realização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das atividades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na instituição, conforme art. 13, inciso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VII;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nomear o coordenador institucional e os coordenadores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área de gestão educacional;</w:t>
      </w:r>
      <w:r w:rsidR="00DC27E4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zelar pela qualidade técnica em todas as etapas de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execução do 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cumprir as normas e diretrizes 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assessorar no processo de seleção dos bolsistas, com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ampla divulgação da chamada pública e das normas 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nomear, por portaria da IES, os membros da Comissão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de Acompanhamento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(CAP) para acompanhamento e avaliação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interna do projeto, dos subprojetos e dos bolsistas participantes;</w:t>
      </w:r>
    </w:p>
    <w:p w:rsidR="00DC27E4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apoiar o desenvolvimento das atividades do projeto,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inclusive a realização do seminário institucional de iniciação à docência;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divulgar o projeto, suas ações e resultados na página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eletrônica da instituição e em outros meios de comunicação disponíveis;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informar à Capes a ocorrência de qualquer irregularidade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na execução do 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 - assegurar que os bens adquiridos com os recursos do</w:t>
      </w:r>
      <w:r w:rsidR="00DC27E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programa sejam utilizados exclusivamente na execução do 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XI - inserir 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no organograma institucional da IES,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vinculando-o, preferencialmente, a uma </w:t>
      </w:r>
      <w:proofErr w:type="spellStart"/>
      <w:r w:rsidRPr="00163ABB">
        <w:rPr>
          <w:rFonts w:ascii="Times New Roman" w:hAnsi="Times New Roman" w:cs="Times New Roman"/>
        </w:rPr>
        <w:t>pró-reitoria</w:t>
      </w:r>
      <w:proofErr w:type="spellEnd"/>
      <w:r w:rsidRPr="00163ABB">
        <w:rPr>
          <w:rFonts w:ascii="Times New Roman" w:hAnsi="Times New Roman" w:cs="Times New Roman"/>
        </w:rPr>
        <w:t xml:space="preserve"> de ensino ou congênere;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XII - disponibilizar endereço eletrônico institucional para o</w:t>
      </w:r>
      <w:r w:rsidR="00BD0B30">
        <w:rPr>
          <w:rFonts w:ascii="Times New Roman" w:hAnsi="Times New Roman" w:cs="Times New Roman"/>
        </w:rPr>
        <w:t xml:space="preserve">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XIII - emitir documentos comprobatórios de participação dos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bolsistas e voluntários do programa.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A IES poderá oferecer outras contrapartidas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complementares que julgar pertinentes, tais como estagiários, redução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carga horária dos coordenadores, incremento de recursos para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compra de material permanente e custeio, bolsas adicionais para os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estudantes de licenciaturas não contemplados com bolsa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,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transporte para atividades ligadas a trabalhos de campo, entre outros.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CAPÍTULO V - DO FINANCIAMENTO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 - Dos Tipos de Apoio Concedidos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23. A Capes concederá recursos financeiros para a execução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dos projetos aprovados nas chamadas públicas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Os tipos de apoio concedidos e os valores máximos para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cada categoria econômica (custeio ou capital) serão estabelecidos em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edital e o repasse estará condicionado à disponibilidade orçamentária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acordo com a legislação vigente e com a regulamentação da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Capes.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A Capes regulamentará, por meio do Manual de Orientações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para Execução de Despesas, os itens financiáveis e a forma de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execução das despesas.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3º Os recursos financeiros destinam-se, exclusivamente, ao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pagamento de despesas aprovadas pela área técnica do programa.</w:t>
      </w:r>
      <w:r w:rsidR="00BD0B30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II - Dos Recursos de Custeio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Art. 24. Os itens de custeio financiáveis são: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material de consumo: despesas com material didático,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pedagógico, científico e tecnológico que, em razão de seu uso corrente,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perde normalmente sua identidade física e/ou tem sua utilização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limitada a dois anos, conforme a definição da Lei nº 4.320/64;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outros serviços de terceiros - pessoa física: despesas com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 prestação de serviços, em caráter eventual e mediante recibo, que,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por sua natureza, só possam ser executados por pessoa física, sem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vínculo empregatício com a administração pública de qualquer esfera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administrativa, com a instituição e 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outros serviços de terceiros - pessoa jurídica: despesas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decorrentes do pagamento de fornecedores de material ou serviço,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mediante nota fiscal detalhada;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diárias: cobrem despesas com hospedagem, alimentação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locomoção urbana, em conformidade com os Decretos nº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5.992/2006 e nº 6.907/2009, totalizadas por dia de afastamento, sendo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devidas pela metade quando não houver pernoite;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passagens e despesas com locomoção: despesas com 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aquisição de passagens (aéreas, terrestres, fluviais, lacustres ou marítimas),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taxas de embarque, locação de veículos para transporte de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pessoas.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Todos os itens descritos nos incisos I a V devem estar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ligados diretamente aos resultados pretendidos no projeto e às atividades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que envolvem sua execução.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Despesas relacionadas à participação em eventos acadêmicos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serão limitadas: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aos bolsistas do projeto, preferencialmente os de iniciação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 docência, que sejam autores de trabalho(s) aprovado(s);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aos bolsistas do projeto que apresentem palestra, minicurso,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oficina ou correlatos relacionados ao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da IES;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a palestrantes externos cuja apresentação seja feita em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evento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realizado na IES.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3º Os valores solicitados para diárias, serviços de hospedagem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passagens e despesas com locomoção não devem ultrapassar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40% (quarenta por cento) do total do recurso de custeio aprovado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para o projeto.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4º A aquisição de combustíveis para deslocamentos somente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será permitida para uso em veículo da instituição e com 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objetivo de realizar visitas relacionadas ao projeto ou para participação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em eventos acadêmicos.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5º Conforme art. 6º da Portaria n° 448, de 13 de setembro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2002, "a despesa com confecção de material por encomenda só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deverá ser classificada como serviço de terceiros - pessoa física ou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pessoa jurídica - se o próprio órgão ou entidade fornecer a matéria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prima";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caso contrário, a despesa deverá ser classificada, conforme 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caso, como material permanente ou como material de consumo.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25. Os itens de custeio não financiáveis são: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contratação de consultorias;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pagamento a estagiários, recepcionistas e secretários;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pagamento a servidor da administração pública, ou empregado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empresa pública ou de sociedade de economia mista, por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serviços de consultoria ou assistência técnica, conforme determinam 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Lei de Diretrizes Orçamentárias da União e o Decreto Federal nº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5.151/2004;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contratação ou complementação salarial de pessoal técnico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administrativo ou quaisquer outras vantagens para pessoal de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instituições públicas (federal, estadual ou municipal) ou vinculadas à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instituição de ensino superior executora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BD0B30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serviços de internet, luz, água, telefone, correios, limpeza,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ou quaisquer serviços de rotina, os quais são entendidos como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despesas de contrapartida obrigatória da instituição de ensino superior;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aquisição de material de limpeza e higienização para 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IES ou para as escolas participantes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aquisição de gêneros alimentícios para consumo, como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bebidas de qualquer espécie, pagamento de coquetéis, almoços e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jantares, exceto nos casos previstos nos §§ 1º e 2º deste artigo;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ornamentação, shows ou manifestações artísticas de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qualquer natureza;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obras civis;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X - aquisição ou confecção de brindes de qualquer espécie: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sacolas, mochilas, bonés, chaveiros e </w:t>
      </w:r>
      <w:proofErr w:type="spellStart"/>
      <w:r w:rsidRPr="00163ABB">
        <w:rPr>
          <w:rFonts w:ascii="Times New Roman" w:hAnsi="Times New Roman" w:cs="Times New Roman"/>
        </w:rPr>
        <w:t>bótons</w:t>
      </w:r>
      <w:proofErr w:type="spellEnd"/>
      <w:r w:rsidRPr="00163ABB">
        <w:rPr>
          <w:rFonts w:ascii="Times New Roman" w:hAnsi="Times New Roman" w:cs="Times New Roman"/>
        </w:rPr>
        <w:t>;</w:t>
      </w:r>
      <w:r w:rsidR="00BD0B30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 - placas comemorativas;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XII - troféus e medalhas (salvo quando de baixo custo e para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atividades educacionais);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XIII - aquisição de auxílio-transporte ou seu pagamento em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pecúnia;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XIV - despesas com finalidades diversas não estritamente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relacionadas ao projeto institucional apoiado.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Será permitida a aquisição de gêneros alimentícios e de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produtos de limpeza quando se destinarem a atividades experimentais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projetos.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Será permitida a aquisição de lanches para alunos da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educação básica quando realizarem atividades extraclasse, em </w:t>
      </w:r>
      <w:proofErr w:type="spellStart"/>
      <w:r w:rsidRPr="00163ABB">
        <w:rPr>
          <w:rFonts w:ascii="Times New Roman" w:hAnsi="Times New Roman" w:cs="Times New Roman"/>
        </w:rPr>
        <w:t>contraturno</w:t>
      </w:r>
      <w:proofErr w:type="spellEnd"/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ou nas férias escolares, promovidas pelo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III - Dos Recursos de Capital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26. Os itens de capital financiáveis são: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equipamentos e material permanente: aqueles que, em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razão do seu uso corrente, não perdem a sua identidade física e/ou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têm uma durabilidade superior a dois anos, tais como: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a) coleções e materiais bibliográficos para bibliotecas da IES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escolas de educação 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b) equipamentos de processamento de dados;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c) equipamentos para áudio, vídeo e foto;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d) outros materiais permanentes definidos no Manual de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Orientações para Execução de Despesas.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É necessário que a solicitação de equipamentos e material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permanente demonstre relevância para a execução do projeto.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Os equipamentos e os materiais permanentes adquiridos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recursos do programa deverão usados exclusivamente nas atividades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e de forma coletiva.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3º A instituição deve comprometer-se a incorporar ao seu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patrimônio os bens permanentes adquiridos para execução do projeto,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bem como cumprir todas as estipulações pertinentes de acordo com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legislação vigente.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CAPÍTULO VI - DAS BOLSAS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 - Das Modalidades e Duração da Bolsa</w:t>
      </w:r>
    </w:p>
    <w:p w:rsidR="00BD0B30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Art. 27. As modalidades de bolsa previstas pelo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são: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coordenação institucional, para o professor de licenciatura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que coordena o projeto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na IES;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coordenação de área de gestão de processos educacionais,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para o professor de licenciatura que auxilia o coordenador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institucional na gestão do projeto na IES;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coordenação de área, para o professor de licenciatura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que coordena o subprojeto;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supervisão, para o professor da escola pública de educação</w:t>
      </w:r>
      <w:r w:rsidR="00BD0B3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iniciação à docência, para o estudante de licenciatura.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Os valores da bolsa de cada modalidade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serão definidos pela Capes em norma específica.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28. A duração da bolsa varia conforme a modalidade da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concessão: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as bolsas de coordenação e de supervisão terão duração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até 48 (quarenta e oito) meses, prorrogáveis por igual período;</w:t>
      </w:r>
      <w:r w:rsidR="009F23E5">
        <w:rPr>
          <w:rFonts w:ascii="Times New Roman" w:hAnsi="Times New Roman" w:cs="Times New Roman"/>
        </w:rPr>
        <w:t xml:space="preserve"> </w:t>
      </w:r>
    </w:p>
    <w:p w:rsidR="009F23E5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 bolsa de iniciação à docência terá duração de até 24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(vinte e quatro) meses, prorrogáveis por igual período.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Independentemente de seu prazo de duração, as bolsas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terão vigência apenas durante a execução do projeto/subprojeto.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O bolsista de iniciação à docência não poderá receber a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bolsa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por período superior ao máximo estabelecido, mesmo que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ingresse em curso de licenciatura ou subprojeto diferente.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II - Do Quadro de Bolsas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29. Será concedida 1 (uma) bolsa de coordenação institucional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por projeto.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Art. 30. Serão concedidas bolsas de coordenação de área de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gestão de processos educacionais, até o limite de 3 (três) concessões,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observados os critérios constantes do Anexo II.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Parágrafo único. Para instituição </w:t>
      </w:r>
      <w:proofErr w:type="spellStart"/>
      <w:r w:rsidRPr="00163ABB">
        <w:rPr>
          <w:rFonts w:ascii="Times New Roman" w:hAnsi="Times New Roman" w:cs="Times New Roman"/>
        </w:rPr>
        <w:t>multicampi</w:t>
      </w:r>
      <w:proofErr w:type="spellEnd"/>
      <w:r w:rsidRPr="00163ABB">
        <w:rPr>
          <w:rFonts w:ascii="Times New Roman" w:hAnsi="Times New Roman" w:cs="Times New Roman"/>
        </w:rPr>
        <w:t xml:space="preserve"> será permitida a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concessão de até 4 (quatro) bolsas de coordenação de área de gestão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processos educacionais, caso o projeto envolva 4 (quatro) ou mais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campi, observados os critérios constantes do Anexo II.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31. As bolsas de coordenação de área e de supervisão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serão concedidas de acordo com a quantidade de bolsistas de iniciação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 docência do subprojeto, obedecendo ao quadro de concessão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Anexo II.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Para assegurar a qualidade na execução e no acompanhamento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das atividades, bem como a otimização dos recursos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públicos:</w:t>
      </w:r>
    </w:p>
    <w:p w:rsidR="009F23E5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cada coordenador de área deve orientar no mínimo 5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(cinco) e no máximo 20 (vinte) estudantes de licenciatura;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cada supervisor deve acompanhar no mínimo 5 (cinco) e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 máximo 10 (dez) estudantes de licenciatura.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Caso o projeto institucional possua um único subprojeto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no máximo 20 (vinte) bolsistas de iniciação à docência, não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haverá concessão de bolsa de coordenação de área; ficando a coordenação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subprojeto a cargo do coordenador institucional, observados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os requisitos definidos nos </w:t>
      </w:r>
      <w:proofErr w:type="spellStart"/>
      <w:r w:rsidRPr="00163ABB">
        <w:rPr>
          <w:rFonts w:ascii="Times New Roman" w:hAnsi="Times New Roman" w:cs="Times New Roman"/>
        </w:rPr>
        <w:t>arts</w:t>
      </w:r>
      <w:proofErr w:type="spellEnd"/>
      <w:r w:rsidRPr="00163ABB">
        <w:rPr>
          <w:rFonts w:ascii="Times New Roman" w:hAnsi="Times New Roman" w:cs="Times New Roman"/>
        </w:rPr>
        <w:t>. 33 e 34.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32. O quadro de bolsas será definido pela Capes quando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aprovação do projeto, observadas as regras definidas neste regulamento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a análise de mérito da proposta.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A IES poderá solicitar alteração do quadro de bolsas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aprovado, anualmente, nas condições estabelecidas pela Capes, desde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que esteja em situação regular na entrega de relatórios e nas prestações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contas parciais.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O quadro de bolsas poderá ser alterado pela Capes,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durante a execução do projeto, caso a instituição não atenda ao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disposto no art. 31.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III - Dos Requisitos dos Bolsistas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33. Para concessão de bolsa de coordenação institucional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coordenação de área de gestão de projetos educacionais, 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professor deverá atender aos seguintes requisitos: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possuir título de mestre ou doutor;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pertencer ao quadro permanente da IES e, quando se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tratar de instituição privada, ser contratado em regime integral ou, se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parcial, com carga horária de, no mínimo, 20 (vinte) horas semanais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e, de preferência, não ser contratado em regime horista;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ser docente e estar em efetivo exercício das atividades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magistério no ensino superior;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possuir experiência mínima de 3 (três) anos como docente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ensino superior;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ministrar disciplina em curso de licenciatura da IES;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possuir experiência na formação de professores ou na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execução de projetos de ensino, comprovada por pelo menos dois dos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seguintes critérios: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a) orientação de estágio em curso de licenciatura;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b) curso de formação inicial e/ou continuada ministrado para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professores da educação 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c) coordenação de programas ou projetos de formação para 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magistério na educação 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d) experiência como docente ou na gestão pedagógica da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educação 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e) produção na área.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possuir competência técnica compatível com a função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coordenador de projeto, bem como disponibilidade para dedicação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não ocupar o cargo de reitor, vice-reitor, presidente,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vice-presidente, pró-reitor ou qualquer outro cargo equivalente na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O atendimento aos requisitos para concessão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bolsa será verificado pela Capes por meio de análise do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currículo do docente, que deverá manter seus dados atualizados na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Plataforma Lattes, do CNPq.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34. Para concessão de bolsa de coordenação de área, o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professor deverá atender aos seguintes requisitos: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possuir formação - graduação ou pós-graduação - na área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subprojeto;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II - pertencer ao quadro permanente da IES e, quando se</w:t>
      </w:r>
      <w:r w:rsidR="009F23E5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tratar de instituição privada, possuir carga horária de, no mínimo, 12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(doze) horas semanais e, preferencialmente, não ser contratado em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regime horista;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ser docente e estar em efetivo exercício das atividades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magistério no ensino superior;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possuir experiência mínima de 3 (três) anos como docente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ensino superior;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ministrar disciplina em curso de licenciatura da IES na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área do subprojeto;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possuir experiência na formação de professores ou na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execução de projetos de ensino, comprovada por pelo menos dois dos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seguintes critérios: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a) orientação de estágio em curso de licenciatura;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b) curso de formação ministrado para professores da educação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d) coordenação de programas ou projetos de formação para o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magistério na educação 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d) experiência como docente ou na gestão pedagógica da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educação 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e) produção na área.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não ocupar o cargo de reitor, vice-reitor, presidente,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vice-presidente, pró-reitor ou qualquer outro cargo equivalente na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A Capes poderá, a qualquer momento, realizar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 verificação do atendimento aos requisitos por meio da análise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currículo do docente, que deverá manter seus dados atualizados na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Plataforma Lattes, do CNPq.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35. Para concessão de bolsa de supervisão, o professor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escola de educação básica deverá atender aos seguintes requisitos: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possuir licenciatura, preferencialmente, na área do subprojeto;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possuir experiência mínima de 2 (dois) anos no magistério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na educação básica;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III - ser professor na escola participante do projeto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e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ministrar disciplina ou atuar na área do subprojeto;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IV - ser selecionado pelo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da IES.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36. Para concessão de bolsa de iniciação à docência, o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estudante deverá atender aos seguintes requisitos: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estar regularmente matriculado em curso de licenciatura</w:t>
      </w:r>
      <w:r w:rsidR="00906B2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IES na área do subprojeto;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ter concluído, preferencialmente, pelo menos um período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letivo no curso de licenciatura;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possuir bom desempenho acadêmico, evidenciado pelo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histórico escolar, consoante as normas da IES;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IV - ser aprovado em processo seletivo realizado pelo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IES.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O estudante de licenciatura que possua vínculo empregatício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poderá ser bolsista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, desde que:</w:t>
      </w:r>
    </w:p>
    <w:p w:rsidR="00853072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não possua relação de trabalho com a IES participante do</w:t>
      </w:r>
      <w:r w:rsidR="00853072">
        <w:rPr>
          <w:rFonts w:ascii="Times New Roman" w:hAnsi="Times New Roman" w:cs="Times New Roman"/>
        </w:rPr>
        <w:t xml:space="preserve">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ou com a escola onde desenvolve as atividades do subprojeto;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possua disponibilidade de 32 (trinta e duas) horas mensais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para dedicação às atividades do projeto.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2º A instituição participante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não poderá impor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restrições aos candidatos à bolsa de iniciação à docência quanto à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existência de vínculo empregatício, ressalvado o disposto no §1º.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37. A critério da IES, poderá ser admitida a participação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professores e alunos voluntários no projeto, desde que atendam aos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mesmos requisitos dos bolsistas e cumpram os deveres do programa.</w:t>
      </w:r>
      <w:r w:rsidR="00853072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Os participantes definidos no caput não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poderão ser beneficiários de qualquer auxílio financeiro concedido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pela Capes/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IV - Das Vedações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38. É vedado: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conceder bolsa a quem estiver em débito de qualquer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natureza com a Capes ou com outras instituições públicas de fomento;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II - conceder bolsa a quem estiver em período de licença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prêmio,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maternidade ou médica acima de 14 dias;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acumular bolsa com qualquer modalidade de auxílio ou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bolsa concedida pela Capes ou por qualquer agência de fomento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pública, nacional ou internacional, ou de instituição pública ou privada,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salvo se norma superveniente dispuser em contrário;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Não se aplica ao disposto no inciso III 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caput, a percepção de bolsa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e:</w:t>
      </w:r>
    </w:p>
    <w:p w:rsidR="00853072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bolsa do Programa Universidade para Todos (</w:t>
      </w:r>
      <w:proofErr w:type="spellStart"/>
      <w:r w:rsidRPr="00163ABB">
        <w:rPr>
          <w:rFonts w:ascii="Times New Roman" w:hAnsi="Times New Roman" w:cs="Times New Roman"/>
        </w:rPr>
        <w:t>Prouni</w:t>
      </w:r>
      <w:proofErr w:type="spellEnd"/>
      <w:r w:rsidRPr="00163ABB">
        <w:rPr>
          <w:rFonts w:ascii="Times New Roman" w:hAnsi="Times New Roman" w:cs="Times New Roman"/>
        </w:rPr>
        <w:t>),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exceto se o aluno também for beneficiário de bolsa permanência;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bolsa ou auxílio de caráter assistencial a alunos comprovadamente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carentes, desde que a concessão não implique a participação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aluno em projetos ou quaisquer outras atividades acadêmicas.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V - Dos Deveres dos Bolsistas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39. São deveres do coordenador institucional: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I - responder pela coordenação geral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perante 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escolas, a IES, as secretarias de educação e a Capes;</w:t>
      </w:r>
    </w:p>
    <w:p w:rsidR="00853072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acompanhar as atividades previstas no projeto, quer as de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natureza coletiva, quer aquelas executadas nos diferentes subprojetos;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acordar com as autoridades da rede pública de ensino 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participação das escolas no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atentar-se à utilização do português de acordo com 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norma culta, quando se tratar de comunicação formal 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empreender a seleção dos coordenadores de área em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conjunto com os colegiados de curso das licenciaturas;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comunicar à Capes as escolas públicas selecionadas nas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quais se desenvolverão as atividades 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elaborar e encaminhar à Capes relatório das atividades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desenvolvidas no projeto, em atendimento ao estabelecido por esta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Portaria;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articular docentes de diferentes áreas, visando ao desenvolvimento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atividades integradas na escola conveniada e à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promoção da formação interdisciplinar;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responsabilizar-se pelo cadastramento completo dos alunos,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coordenadores e supervisores do projeto, conforme orientação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Capes, mantendo esse cadastro atualizado;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 - acompanhar mensalmente a regularidade do pagamento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bolsistas, responsabilizando-se pelas alterações no sistema;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 - manter sob guarda institucional toda documentação referente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ao 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XII - garantir a atualização dos coordenadores de área e dos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supervisores nas normas e procedimentos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XIII - realizar o acompanhamento técnico-pedagógico 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XIV - comunicar imediatamente à Capes qualquer alteração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relativa à descontinuidade do plano de trabalho ou do 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XV - promover reuniões e encontros entre os bolsistas, garantindo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 participação de todos, inclusive de diretores e de outros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professores das escolas da rede pública e representantes das secretarias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educação, quando couber;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XVI - enviar à Capes documentos de acompanhamento das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atividades dos bolsistas do projeto sob sua orientação, sempre que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forem solicitados;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XVII - participar das atividades de acompanhamento e avaliação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definidas pela Capes e pelas instituições participantes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XVIII - utilizar os recursos solicitados para o desenvolvimento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projeto, obrigando-se a cumprir todas as condições estabelecidas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em cada edital, em fiel atendimento às normativas que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regulamentam o gerenciamento de recurso público;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XIX - prestar contas técnica e financeira nos prazos pactuados;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XX - participar das atividades de acompanhamento e avaliação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definidas pela Capes;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XXI - manter seus dados atualizados na Plataforma Lattes;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XXII - compartilhar com a direção da IES e seus pares 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boas práticas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na perspectiva de buscar a excelência na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formação de professores.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40. São deveres do coordenador de área de gestão de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processos educacionais: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apoiar o coordenador institucional e ser corresponsável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pelo desenvolvimento do 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colaborar na articulação institucional das unidades acadêmicas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colegiados de curso envolvidos na proposta institucional;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promover reuniões periódicas com a equipe 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atentar-se à utilização do português de acordo com 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norma culta, quando se tratar de comunicação formal do programa;</w:t>
      </w:r>
      <w:r w:rsidR="00853072">
        <w:rPr>
          <w:rFonts w:ascii="Times New Roman" w:hAnsi="Times New Roman" w:cs="Times New Roman"/>
        </w:rPr>
        <w:t xml:space="preserve"> </w:t>
      </w:r>
    </w:p>
    <w:p w:rsidR="00853072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produzir relatórios de gestão sempre que solicitado;</w:t>
      </w:r>
    </w:p>
    <w:p w:rsidR="00853072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representar o coordenador institucional em todas 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demandas solicitadas pela IES ou pela Capes, quando couber;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participar das atividades de acompanhamento e avaliação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definidas pela Capes;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manter seus dados atualizados na Plataforma Lattes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XIX - compartilhar com a direção da IES e seus pares 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boas práticas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na perspectiva de buscar a excelência na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formação de professores.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41. São deveres do coordenador de área: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responder pela coordenação do subprojeto de área perante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 coordenação institucional;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elaborar, desenvolver e acompanhar as atividades previstas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 subprojeto;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participar de comissões de seleção de bolsistas de iniciação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 docência e de supervisores para atuar no subprojeto;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orientar a atuação dos bolsistas de iniciação à docência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conjuntamente com os supervisores das escolas envolvidas;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apresentar ao coordenador institucional relatórios periódicos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contendo descrições, análise e avaliação de atividades 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subprojeto que coordena;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atentar-se à utilização do português de acordo com 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norma culta, quando se tratar de comunicação formal 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informar ao coordenador institucional toda substituição,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inclusão, desistência ou alterações cadastrais de integrantes do subprojeto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que coordena;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comunicar imediatamente ao coordenador institucional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qualquer irregularidade no pagamento das bolsas a integrantes 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subprojeto que coordena;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participar de seminários de iniciação à docência do</w:t>
      </w:r>
      <w:r w:rsidR="00853072">
        <w:rPr>
          <w:rFonts w:ascii="Times New Roman" w:hAnsi="Times New Roman" w:cs="Times New Roman"/>
        </w:rPr>
        <w:t xml:space="preserve">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promovidos pela IES à qual está vinculado;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 - enviar ao coordenador institucional quaisquer documentos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acompanhamento das atividades dos bolsistas de iniciação à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docência sob sua orientação, sempre que solicitado;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 - participar das atividades de acompanhamento e avaliação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definidas pela Capes;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XII - manter seus dados atualizados na Plataforma Lattes;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XIII - assinar termo de desligamento do projeto, quando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couber;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XIV- compartilhar com os membros do colegiado de curso 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seus pares as boas práticas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na perspectiva de buscar 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excelência na formação de professores; e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XV - elaborar e desenvolver, quando possível, projetos interdisciplinares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que valorizem a </w:t>
      </w:r>
      <w:proofErr w:type="spellStart"/>
      <w:r w:rsidRPr="00163ABB">
        <w:rPr>
          <w:rFonts w:ascii="Times New Roman" w:hAnsi="Times New Roman" w:cs="Times New Roman"/>
        </w:rPr>
        <w:t>intersetorialidade</w:t>
      </w:r>
      <w:proofErr w:type="spellEnd"/>
      <w:r w:rsidRPr="00163ABB">
        <w:rPr>
          <w:rFonts w:ascii="Times New Roman" w:hAnsi="Times New Roman" w:cs="Times New Roman"/>
        </w:rPr>
        <w:t xml:space="preserve"> e a conexão dos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conhecimentos presentes da educação básica.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42. São deveres do supervisor: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elaborar, desenvolver e acompanhar as atividades dos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bolsistas de iniciação à docência;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controlar a frequência dos bolsistas de iniciação à docência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na escola, repassando essas informações ao coordenador de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área;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informar ao coordenador de área eventuais mudanças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nas condições que lhe garantiram participação no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atentar-se à utilização do português de acordo com 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norma culta, quando se tratar de comunicação formal do programa ou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demais atividades que envolvam a escrita;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 xml:space="preserve">V - participar de seminários de iniciação à docência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promovidos pelo projeto do qual participa;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informar à comunidade escolar sobre as atividades 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enviar ao coordenador de área quaisquer relatórios 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documentos de acompanhamento das atividades dos bolsistas de iniciação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 docência sob sua supervisão, sempre que solicitado;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participar das atividades de acompanhamento e avaliação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definidas pela Capes;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manter seus dados atualizados na Plataforma Freire, 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MEC;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 - assinar termo de desligamento do projeto, quando couber;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 - compartilhar com a direção da escola e seus pares 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boas práticas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na perspectiva de buscar a excelência na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formação de professores; e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XII - elaborar e desenvolver, quando possível, projetos interdisciplinares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que valorizem a </w:t>
      </w:r>
      <w:proofErr w:type="spellStart"/>
      <w:r w:rsidRPr="00163ABB">
        <w:rPr>
          <w:rFonts w:ascii="Times New Roman" w:hAnsi="Times New Roman" w:cs="Times New Roman"/>
        </w:rPr>
        <w:t>intersetorialidade</w:t>
      </w:r>
      <w:proofErr w:type="spellEnd"/>
      <w:r w:rsidRPr="00163ABB">
        <w:rPr>
          <w:rFonts w:ascii="Times New Roman" w:hAnsi="Times New Roman" w:cs="Times New Roman"/>
        </w:rPr>
        <w:t xml:space="preserve"> e a conexão dos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conhecimentos presentes da educação básica.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43. São deveres do bolsista de iniciação à docência: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participar das atividades definidas pelo 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dedicar-se, no período de vigência da bolsa a, no mínimo,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8 horas semanais às atividades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, sem prejuízo 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cumprimento de seus compromissos regulares como discente;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tratar todos os membros do programa e da comunidade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escolar com cordialidade, respeito e formalidade adequada;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atentar-se à utilização da língua portuguesa de acordo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a norma culta, quando se tratar de comunicação formal do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assinar Termo de Compromisso 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restituir à Capes eventuais benefícios recebidos indevidamente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programa, por meio de Guia de Recolhimento da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União (GRU);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informar imediatamente ao coordenador de área qualquer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irregularidade no recebimento de sua bolsa;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elaborar portfólio ou instrumento equivalente de registro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a finalidade de sistematização das ações desenvolvidas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durante sua participação no 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apresentar formalmente os resultados parciais e finais de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seu trabalho, divulgando-os nos seminários de iniciação à docência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promovidos pela instituição;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 - participar das atividades de acompanhamento e avaliação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definidas pela Capes;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XI - assinar termo de desligamento do projeto, quando couber.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É vedado ao bolsista de iniciação à docência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assumir a rotina de atribuições dos docentes da escola ou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atividades de suporte administrativo ou operacional.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VI - Do Cadastro e Pagamento das Bolsas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44. O cadastro de bolsistas e demais procedimentos para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gerenciamento das bolsas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serão realizados por meio de sistema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disponibilizado pela Capes.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45. É de responsabilidade do coordenador institucional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efetuar o cadastro dos bolsistas nas condições e prazos estabelecidos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pelo programa.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46. Os documentos exigidos pela Capes para cadastro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bolsistas nos sistema deverão ser mantidos por até 20 (vinte) anos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sob a guarda da IES, na forma da legislação pertinente:</w:t>
      </w:r>
      <w:r w:rsidR="00853072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edital e resultado da seleção;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termos de compromisso assinados.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A Capes poderá, a qualquer momento, solicitar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os documentos citados nos incisos I e II, bem como documentos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adicionais dos bolsistas.</w:t>
      </w:r>
    </w:p>
    <w:p w:rsidR="00853072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47. O pagamento das bolsas será processado mensalmente,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acordo com cronograma definido pela Capes.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A bolsa será paga no mês subsequente ao mês de competência.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O início das atividades do bolsista no projeto deverá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ocorrer até o dia 14 do mês, caso contrário não fará jus ao pagamento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primeira mensalidade.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48. O pagamento será efetuado diretamente ao bolsista,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mediante depósito em conta corrente de sua titularidade.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Art. 49. A Capes não fará pagamento retroativo de mensalidade,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exceto nos casos estabelecidos no Manual de Concessão de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Bolsas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VII - Da Suspensão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50. A suspensão da bolsa consiste na interrupção temporária</w:t>
      </w:r>
      <w:r w:rsidR="00853072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 pagamento da mensalidade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O período máximo de suspensão da bolsa será de até 2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(dois) meses.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É vedada a substituição do bolsista durante o período em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que a bolsa estiver suspensa.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51. A bolsa será suspensa pelo coordenador institucional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nos seguintes casos: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afastamento das atividades do projeto por período superior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 15 (quinze) dias;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para averiguação de acúmulo de bolsas com outros programas;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para averiguação de descumprimento de normas do</w:t>
      </w:r>
      <w:r w:rsidR="00070FD6">
        <w:rPr>
          <w:rFonts w:ascii="Times New Roman" w:hAnsi="Times New Roman" w:cs="Times New Roman"/>
        </w:rPr>
        <w:t xml:space="preserve">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§1º Professor em gozo de licença prevista na Lei nº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8.112/1990 ou no Decreto-lei nº 5.452/1943 que demandar o afastamento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das atividades laborais na IES ou na escola por período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superior a 15 (quinze) dias deverá, igualmente, afastar-se das atividades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 projeto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Apenas nos casos previstos nos incisos II e III, a suspensão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poderá ser feita pela Capes.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3</w:t>
      </w:r>
      <w:r w:rsidR="00070FD6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Nos casos dos incisos II e III o bolsista deverá ter direito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 ampla defesa, a ser apresentada em até 10 dias depois de comunicação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oficial, antes da deliberação da suspensão da bolsa.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VIII - Do Cancelamento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Art. 52. A bolsa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será cancelada pelo coordenador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institucional, com anuência do coordenador de área, quando couber,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nos seguintes casos: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licença ou afastamento das atividades do projeto por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período superior a 2 (dois) meses;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descumprimento das normas 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desempenho insatisfatório ou desabonador por parte do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bolsista;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trancamento de matrícula, abandono, desligamento ou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conclusão do curso (apenas para o bolsista de iniciação à docência);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comprovação de irregularidade na concessão;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término do prazo máximo de suspensão da bolsa, quando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não houver reativação;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encerramento do subprojeto ou 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término do prazo máximo de concessão;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a pedido do bolsista.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Caso a licença ou o afastamento previstos no inciso I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ocorram em função da maternidade, a bolsista terá assegurado 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retorno ao projeto, respeitadas as normas do programa.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Para efeito do disposto no inciso IV, será considerada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como conclusão do curso a data da colação de grau.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3</w:t>
      </w:r>
      <w:r w:rsidR="00070FD6">
        <w:rPr>
          <w:rFonts w:ascii="Times New Roman" w:hAnsi="Times New Roman" w:cs="Times New Roman"/>
        </w:rPr>
        <w:t>º</w:t>
      </w:r>
      <w:r w:rsidRPr="00163ABB">
        <w:rPr>
          <w:rFonts w:ascii="Times New Roman" w:hAnsi="Times New Roman" w:cs="Times New Roman"/>
        </w:rPr>
        <w:t xml:space="preserve"> Nos casos dos incisos II e III o bolsista deverá ter direito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 ampla defesa, a ser apresentada em até 10 dias depois de comunicação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oficial, antes da deliberação da suspensão da bolsa.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XIX - Da Devolução da Bolsa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53. São consideradas razões para a devolução da bolsa: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pagamento de valores a maior;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pagamento indevido;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comprovação de irregularidade na concessão.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A devolução de valores pagos a maior ou indevidamente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deverá ser efetuada pelo bolsista no prazo máximo de 30 (trinta) dias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após o recebimento dos recursos, por meio da Guia de Recolhimento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União (GRU).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Nos casos previstos no inciso III, fica a concessão revogada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o bolsista obrigado a ressarcir o investimento, inclusive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diárias e passagens, feito indevidamente em seu favor, de acordo com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 legislação federal vigente, ficando a pessoa impossibilitada de receber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benefícios da Capes pelo período de 5 (cinco) anos, contados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conhecimento do fato, sem prejuízo das demais sanções administrativas,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cíveis e penais aplicáveis ao caso.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CAPÍTULO VII - DA IMPLEMENTAÇÃO DO PROJETO</w:t>
      </w:r>
    </w:p>
    <w:p w:rsidR="00070FD6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 - Da Contratação da Proposta e Forma de Repasse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Art. 54. Após a divulgação do resultado final, as propostas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aprovadas serão implementadas por meio da celebração de instrumento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legal, conforme especificado em edital.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A Capes fixará em cada edital os documentos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necessários para a contratação da proposta.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55. O repasse dos recursos de custeio e/ou capital será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condicionado ao atendimento dos itens definidos em edital, além do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cumprimento das condições próprias para recebimento de recursos da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União.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II - Da Seleção dos Bolsistas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56. Os bolsistas de supervisão e de iniciação à docência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serão selecionados por meio de chamada pública de ampla concorrência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realizada pela Comissão de Acompanhamento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(CAP).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Caso a CAP ainda não tenha sido constituída,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caberá ao coordenador institucional e aos coordenadores de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área a responsabilidade pela seleção dos bolsistas.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57. Para o processo de seleção, a instituição deverá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providenciar ampla divulgação das normas do programa, por meio de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edital, onde deverá constar: período de inscrições; critérios para seleção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bolsistas, procedimentos para pedidos de reconsiderações,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entre outras normas julgadas pertinentes.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III - Do Marco Inicial do Projeto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58. Para efeito de pagamento de bolsa, os subprojetos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terão vigência somente após o recebimento pela Capes de ofício da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IES, assinado pelo dirigente máximo, comunicando a data de início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das atividades e declarando concordância com os termos desta norma.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Para iniciar suas atividades, o subprojeto deverá alcançar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um número mínimo de 5 (cinco) bolsistas de iniciação à docência,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definidos pelo resultado do processo de seleção realizado pela IES.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Para que o bolsista faça jus ao pagamento da primeira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bolsa, o início das atividades do subprojeto deverá ocorrer até o dia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14 do mês.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59. O subprojeto que não alcançar o número mínimo de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bolsistas terá o prazo de 3 (três) meses, contatos a partir do prazo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estabelecido pela Capes para início dos projetos, para realizar novo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processo de seleção e dar início às atividades.</w:t>
      </w:r>
    </w:p>
    <w:p w:rsidR="00070FD6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Após o prazo definido no caput, as concessões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não utilizadas serão canceladas e o subprojeto será encerrado.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Seção IV - Do Regimento Interno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60. As instituições aprovadas no programa deverão elaborar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seu Regimento Interno que deverá ser aprovado pela instituição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conter, no mínimo: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as características do programa na IES;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os processos de seleção e acompanhamento das escolas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participantes;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a composição da equipe gestora do programa na IES;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as competências dos membros da Comissão de Acompanhamento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os instrumentos de acompanhamento dos egressos do</w:t>
      </w:r>
      <w:r w:rsidR="00070FD6">
        <w:rPr>
          <w:rFonts w:ascii="Times New Roman" w:hAnsi="Times New Roman" w:cs="Times New Roman"/>
        </w:rPr>
        <w:t xml:space="preserve">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os indicadores de avaliação ou referenciais de qualidade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programa para a formação de professores;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 - a sistemática de avaliação de todos os membros do</w:t>
      </w:r>
      <w:r w:rsidR="00070FD6">
        <w:rPr>
          <w:rFonts w:ascii="Times New Roman" w:hAnsi="Times New Roman" w:cs="Times New Roman"/>
        </w:rPr>
        <w:t xml:space="preserve">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os instrumentos de registro das atividades do programa,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incluindo a obrigatoriedade do portfólio ou instrumento equivalente;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a forma de gestão e utilização dos recursos de custeio e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capital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X - os motivos de desligamento dos membros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61. O regimento deverá ser enviado à Capes no prazo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máximo de 6 (seis) meses após início das atividades do projeto na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instituição.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CAPÍTULO VIII - DA COMISSÃO DE ACOMPANHAMENTO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PIBID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Art. 62. A Comissão de Acompanhamento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(CAP)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IES será constituída por diferentes representantes dos seguimentos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bolsistas, bem como membros externos do programa de acordo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com os termos estabelecidos no Regimento Interno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070FD6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Parágrafo único. O coordenador institucional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deverá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presidir a Comissão de Acompanhamento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Art. 63. Os representantes de coordenação de área, supervisão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iniciação à docência serão eleitos por seus pares e o processo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será conduzido pelo coordenador institucional e, quando houver, pelos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coordenadores de área de gestão de processos educacionais.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64. Compete à CAP: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assessorar a coordenação institucional naquilo que for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necessário para o bom funcionamento do programa, tanto pedagógico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quanto administrativamente;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propor a criação do Regimento Interno 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III - aprovar relatórios internos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- parciais e finais,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antes do encaminhamento à Capes;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IV - examinar solicitações dos bolsistas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aprovar orçamento interno do 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 - elaborar e publicar edital de seleção dos bolsistas do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programa;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VII - contatar a direção das escolas participantes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="00070FD6">
        <w:rPr>
          <w:rFonts w:ascii="Times New Roman" w:hAnsi="Times New Roman" w:cs="Times New Roman"/>
        </w:rPr>
        <w:t xml:space="preserve">, </w:t>
      </w:r>
      <w:r w:rsidRPr="00163ABB">
        <w:rPr>
          <w:rFonts w:ascii="Times New Roman" w:hAnsi="Times New Roman" w:cs="Times New Roman"/>
        </w:rPr>
        <w:t>quando necessário;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 - propor soluções para problemas relacionados ao desenvolvimento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das atividades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nas escolas participantes e nos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subprojetos;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 - organizar seminários internos de acompanhamento e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avaliação do programa.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X - deliberar quanto à suspensão ou cancelamento de bolsas,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garantindo a ampla defesa dos bolsistas do programa.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CAPÍTULO IX - DO ACOMPANHAMENTO E DA AVALIAÇÃO</w:t>
      </w:r>
    </w:p>
    <w:p w:rsidR="00070FD6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65. O desenvolvimento do projeto será acompanhado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pela Capes, mediante análise de relatórios de atividades contendo 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descrição das principais ações realizadas e em andamento.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Os relatórios de atividades dos projetos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serão: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parciais, elaborados e encaminhados à Capes a cada ano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após o início do projeto;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final, elaborado e encaminhado à Capes até 60 (sessenta)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dias após o encerramento da vigência do termo de concessão.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66. A IES deve disponibilizar à Capes todo e qualquer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material produzido por seus integrantes no âmbito 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 xml:space="preserve"> autorizando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sua publicação em meios físicos e virtuais.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67. A Capes poderá realizar visitas técnicas e promover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 uso de ambiente virtual para acompanhamento, compartilhamento e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avaliação dos projetos.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68. A Capes poderá realizar, a seu critério, outras atividades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avaliação e acompanhamento, das quais os integrantes do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programa deverão participar, quando solicitados.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69. Trabalhos publicados e sua divulgação, sob qualquer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forma de comunicação ou por qualquer veículo deverão, obrigatoriamente,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 idioma da divulgação, fazer menção expressa ao fato de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 trabalho ter recebido apoio material e/ou financeiro da Coordenação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Aperfeiçoamento de Pessoal de Nível Superior - Capes - Brasil.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CAPÍTULO X - DA PRESTAÇÃO DE CONTAS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Art. 70. Durante a execução do projeto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, o convenente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deverá apresentar prestações de contas parciais, compostas pelo relatório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atividades e comprovantes da aplicação dos recursos repassados,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até o dia 30 de janeiro do exercício subsequente ao do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recebimento dos recursos.</w:t>
      </w:r>
    </w:p>
    <w:p w:rsidR="00070FD6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1º A não apresentação da documentação exigida no caput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implicará a interrupção do repasse das parcelas subsequentes do projeto.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2º A Capes poderá, a qualquer momento, exigir informações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ou documentos adicionais para verificação da correta aplicação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recursos do programa.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71. Visando ao cumprimento do disposto no Art. 70,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Parágrafo Único, da Constituição Federal, e ao disposto na Portaria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Interministerial CGU/MF/MP 507/2011, o convenente deverá apresentar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prestação de contas final até 60 (sessenta) dias após o encerramento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vigência do instrumento pactuado ou a conclusão da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execução do objeto.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Caso a prestação de contas final não seja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apresentada ou aprovada, a Capes poderá proceder à inscrição do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convenente no Cadin (Cadastro Informativo dos Créditos não Quitados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Setor Público Federal) e à instauração de Tomada de Contas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Especial.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72. O encerramento do projeto ocorrerá após aprovação</w:t>
      </w:r>
      <w:r w:rsidR="00070FD6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prestação de contas pela Capes.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CAPÍTULO XI - DISPOSIÇÕES FINAIS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Art. 73. A presente norma aplica-se a todos os participantes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do </w:t>
      </w:r>
      <w:proofErr w:type="spellStart"/>
      <w:r w:rsidRPr="00163ABB">
        <w:rPr>
          <w:rFonts w:ascii="Times New Roman" w:hAnsi="Times New Roman" w:cs="Times New Roman"/>
        </w:rPr>
        <w:t>Pibid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74. A concessão das bolsas e o repasse dos recursos de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custeio e capital estão condicionados à disponibilidade orçamentária e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financeira da Capes.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75. A Capes resguarda-se o direito de, a qualquer momento,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solicitar informações ou documentos adicionais que julgar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necessários.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76. Casos omissos ou excepcionais serão analisados pela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Diretoria de Formação de Professores da Educação Básica.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77. É facultado à Capes aplicar as novas disposições nos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casos em que a presente norma seja mais vantajosa aos beneficiários.</w:t>
      </w:r>
    </w:p>
    <w:p w:rsidR="00163ABB" w:rsidRPr="00163ABB" w:rsidRDefault="00163ABB" w:rsidP="002202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78. Esta norma entra em vigor na data de sua publicação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revoga as disposições em contrário.</w:t>
      </w:r>
    </w:p>
    <w:p w:rsidR="00220200" w:rsidRDefault="00220200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3ABB" w:rsidRDefault="00163ABB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00">
        <w:rPr>
          <w:rFonts w:ascii="Times New Roman" w:hAnsi="Times New Roman" w:cs="Times New Roman"/>
          <w:b/>
        </w:rPr>
        <w:t>ANEXO</w:t>
      </w:r>
    </w:p>
    <w:p w:rsidR="00220200" w:rsidRPr="00220200" w:rsidRDefault="00220200" w:rsidP="00220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3ABB" w:rsidRPr="00163ABB" w:rsidRDefault="00163ABB" w:rsidP="007E02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REGULAMENTO DO PROGRAMA INSTITUCIONAL DE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BOLSA DE INICIAÇÃO À DOCÊNCIA</w:t>
      </w:r>
    </w:p>
    <w:p w:rsidR="00163ABB" w:rsidRPr="00163ABB" w:rsidRDefault="00163ABB" w:rsidP="007E02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Quadro 1 - Concessão de bolsas de coordenação de área de</w:t>
      </w:r>
      <w:r w:rsidR="00220200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gestão de processos educacionais por projeto institucional</w:t>
      </w:r>
    </w:p>
    <w:p w:rsid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4"/>
      </w:tblGrid>
      <w:tr w:rsidR="00CB1082" w:rsidTr="001D4BDD">
        <w:tc>
          <w:tcPr>
            <w:tcW w:w="9102" w:type="dxa"/>
            <w:gridSpan w:val="2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Quantidade de bolsas concedidas</w:t>
            </w:r>
          </w:p>
        </w:tc>
      </w:tr>
      <w:tr w:rsidR="007E0249" w:rsidTr="00CB1082">
        <w:tc>
          <w:tcPr>
            <w:tcW w:w="4678" w:type="dxa"/>
          </w:tcPr>
          <w:p w:rsidR="007E0249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Iniciação à docência</w:t>
            </w:r>
          </w:p>
        </w:tc>
        <w:tc>
          <w:tcPr>
            <w:tcW w:w="4424" w:type="dxa"/>
          </w:tcPr>
          <w:p w:rsidR="007E0249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 de área de gestão</w:t>
            </w:r>
          </w:p>
        </w:tc>
      </w:tr>
      <w:tr w:rsidR="007E0249" w:rsidTr="00CB1082">
        <w:tc>
          <w:tcPr>
            <w:tcW w:w="4678" w:type="dxa"/>
          </w:tcPr>
          <w:p w:rsidR="007E0249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 100</w:t>
            </w:r>
          </w:p>
        </w:tc>
        <w:tc>
          <w:tcPr>
            <w:tcW w:w="4424" w:type="dxa"/>
          </w:tcPr>
          <w:p w:rsidR="007E0249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1082" w:rsidTr="00CB1082">
        <w:tc>
          <w:tcPr>
            <w:tcW w:w="4678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a 200</w:t>
            </w:r>
          </w:p>
        </w:tc>
        <w:tc>
          <w:tcPr>
            <w:tcW w:w="4424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082" w:rsidTr="00CB1082">
        <w:tc>
          <w:tcPr>
            <w:tcW w:w="4678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a 300</w:t>
            </w:r>
          </w:p>
        </w:tc>
        <w:tc>
          <w:tcPr>
            <w:tcW w:w="4424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1082" w:rsidTr="00CB1082">
        <w:tc>
          <w:tcPr>
            <w:tcW w:w="4678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a 400</w:t>
            </w:r>
          </w:p>
        </w:tc>
        <w:tc>
          <w:tcPr>
            <w:tcW w:w="4424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1082" w:rsidTr="00CB1082">
        <w:tc>
          <w:tcPr>
            <w:tcW w:w="4678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Mais de 400 (apenas para instituições </w:t>
            </w:r>
            <w:proofErr w:type="spellStart"/>
            <w:r w:rsidRPr="00CB1082">
              <w:rPr>
                <w:rFonts w:ascii="Times New Roman" w:hAnsi="Times New Roman" w:cs="Times New Roman"/>
                <w:i/>
              </w:rPr>
              <w:t>multicampi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24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20200" w:rsidRPr="00163ABB" w:rsidRDefault="00220200" w:rsidP="0016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ABB" w:rsidRPr="00163ABB" w:rsidRDefault="00163ABB" w:rsidP="007E02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Quadro 2 - Concessão de bolsas por subprojeto</w:t>
      </w:r>
    </w:p>
    <w:p w:rsid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006"/>
      </w:tblGrid>
      <w:tr w:rsidR="00CB1082" w:rsidTr="00332B79">
        <w:tc>
          <w:tcPr>
            <w:tcW w:w="9102" w:type="dxa"/>
            <w:gridSpan w:val="3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Quantidade de bolsas concedidas</w:t>
            </w:r>
          </w:p>
        </w:tc>
      </w:tr>
      <w:tr w:rsidR="00CB1082" w:rsidTr="00CB1082">
        <w:tc>
          <w:tcPr>
            <w:tcW w:w="2977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Iniciação à docência</w:t>
            </w:r>
          </w:p>
        </w:tc>
        <w:tc>
          <w:tcPr>
            <w:tcW w:w="3119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Supervisão</w:t>
            </w:r>
          </w:p>
        </w:tc>
        <w:tc>
          <w:tcPr>
            <w:tcW w:w="3006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 de área</w:t>
            </w:r>
          </w:p>
        </w:tc>
      </w:tr>
      <w:tr w:rsidR="00CB1082" w:rsidTr="00CB1082">
        <w:tc>
          <w:tcPr>
            <w:tcW w:w="2977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 20</w:t>
            </w:r>
          </w:p>
        </w:tc>
        <w:tc>
          <w:tcPr>
            <w:tcW w:w="3119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 4</w:t>
            </w:r>
          </w:p>
        </w:tc>
        <w:tc>
          <w:tcPr>
            <w:tcW w:w="3006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082" w:rsidTr="00CB1082">
        <w:tc>
          <w:tcPr>
            <w:tcW w:w="2977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a 40</w:t>
            </w:r>
          </w:p>
        </w:tc>
        <w:tc>
          <w:tcPr>
            <w:tcW w:w="3119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 8</w:t>
            </w:r>
          </w:p>
        </w:tc>
        <w:tc>
          <w:tcPr>
            <w:tcW w:w="3006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1082" w:rsidTr="00CB1082">
        <w:tc>
          <w:tcPr>
            <w:tcW w:w="2977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a 60</w:t>
            </w:r>
          </w:p>
        </w:tc>
        <w:tc>
          <w:tcPr>
            <w:tcW w:w="3119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 12</w:t>
            </w:r>
          </w:p>
        </w:tc>
        <w:tc>
          <w:tcPr>
            <w:tcW w:w="3006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1082" w:rsidTr="00CB1082">
        <w:tc>
          <w:tcPr>
            <w:tcW w:w="2977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a 80</w:t>
            </w:r>
          </w:p>
        </w:tc>
        <w:tc>
          <w:tcPr>
            <w:tcW w:w="3119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 16</w:t>
            </w:r>
          </w:p>
        </w:tc>
        <w:tc>
          <w:tcPr>
            <w:tcW w:w="3006" w:type="dxa"/>
          </w:tcPr>
          <w:p w:rsidR="00CB1082" w:rsidRDefault="00CB1082" w:rsidP="00CB1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20200" w:rsidRDefault="00220200" w:rsidP="0016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15E" w:rsidRDefault="00AC415E" w:rsidP="0016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249" w:rsidRPr="00220200" w:rsidRDefault="007E0249" w:rsidP="007E02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20200">
        <w:rPr>
          <w:rFonts w:ascii="Times New Roman" w:hAnsi="Times New Roman" w:cs="Times New Roman"/>
          <w:b/>
          <w:i/>
        </w:rPr>
        <w:t>(Publicação no DOU n.º 140, de 23.07.2013, Seção 1, página 1</w:t>
      </w:r>
      <w:r>
        <w:rPr>
          <w:rFonts w:ascii="Times New Roman" w:hAnsi="Times New Roman" w:cs="Times New Roman"/>
          <w:b/>
          <w:i/>
        </w:rPr>
        <w:t>1/14</w:t>
      </w:r>
      <w:r w:rsidRPr="00220200">
        <w:rPr>
          <w:rFonts w:ascii="Times New Roman" w:hAnsi="Times New Roman" w:cs="Times New Roman"/>
          <w:b/>
          <w:i/>
        </w:rPr>
        <w:t>)</w:t>
      </w:r>
    </w:p>
    <w:p w:rsidR="007E0249" w:rsidRDefault="007E0249" w:rsidP="0016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15E" w:rsidRDefault="00AC4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0249" w:rsidRPr="007E0249" w:rsidRDefault="007E0249" w:rsidP="007E02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249">
        <w:rPr>
          <w:rFonts w:ascii="Times New Roman" w:hAnsi="Times New Roman" w:cs="Times New Roman"/>
          <w:b/>
        </w:rPr>
        <w:lastRenderedPageBreak/>
        <w:t>MINISTÉRIO DA EDUCAÇÃO</w:t>
      </w:r>
    </w:p>
    <w:p w:rsidR="00163ABB" w:rsidRPr="007E0249" w:rsidRDefault="00163ABB" w:rsidP="007E02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249">
        <w:rPr>
          <w:rFonts w:ascii="Times New Roman" w:hAnsi="Times New Roman" w:cs="Times New Roman"/>
          <w:b/>
        </w:rPr>
        <w:t>FUNDO NACIONAL DE DESENVOLVIMENTO</w:t>
      </w:r>
      <w:r w:rsidR="007E0249" w:rsidRPr="007E0249">
        <w:rPr>
          <w:rFonts w:ascii="Times New Roman" w:hAnsi="Times New Roman" w:cs="Times New Roman"/>
          <w:b/>
        </w:rPr>
        <w:t xml:space="preserve"> </w:t>
      </w:r>
      <w:r w:rsidRPr="007E0249">
        <w:rPr>
          <w:rFonts w:ascii="Times New Roman" w:hAnsi="Times New Roman" w:cs="Times New Roman"/>
          <w:b/>
        </w:rPr>
        <w:t>DA EDUCAÇÃO</w:t>
      </w:r>
    </w:p>
    <w:p w:rsidR="00163ABB" w:rsidRPr="007E0249" w:rsidRDefault="00163ABB" w:rsidP="007E02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249">
        <w:rPr>
          <w:rFonts w:ascii="Times New Roman" w:hAnsi="Times New Roman" w:cs="Times New Roman"/>
          <w:b/>
        </w:rPr>
        <w:t>RESOLUÇÃO N</w:t>
      </w:r>
      <w:r w:rsidR="007E0249">
        <w:rPr>
          <w:rFonts w:ascii="Times New Roman" w:hAnsi="Times New Roman" w:cs="Times New Roman"/>
          <w:b/>
        </w:rPr>
        <w:t>º</w:t>
      </w:r>
      <w:r w:rsidRPr="007E0249">
        <w:rPr>
          <w:rFonts w:ascii="Times New Roman" w:hAnsi="Times New Roman" w:cs="Times New Roman"/>
          <w:b/>
        </w:rPr>
        <w:t xml:space="preserve"> 31, DE 22 DE JULHO DE 2013</w:t>
      </w:r>
    </w:p>
    <w:p w:rsidR="007E0249" w:rsidRDefault="007E0249" w:rsidP="00B177E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63ABB" w:rsidRDefault="00163ABB" w:rsidP="00B177E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Dispõe sobre a destinação de recursos financeiros,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nos moldes operacionais e regulamentares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Programa Dinheiro Direto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na Escola (PDDE), às escolas públicas dos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Estados e do Distrito Federal de ensino médio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selecionadas pelas respectivas secretarias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educação que aderirem ao Programa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Ensino Médio Inovador (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), com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vistas a apoiar e fortalecer o desenvolvimento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propostas curriculares inovadoras</w:t>
      </w:r>
      <w:r w:rsidR="007E0249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nesse nível de ensino.</w:t>
      </w:r>
    </w:p>
    <w:p w:rsidR="007E0249" w:rsidRPr="00163ABB" w:rsidRDefault="007E0249" w:rsidP="00B177E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FUNDAMENTAÇÃO LEGAL:</w:t>
      </w: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Constituição Federal de 1988.</w:t>
      </w: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Lei n.º 9.394, de 20 de dezembro de 1996.</w:t>
      </w: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Lei n.º 9.608, de 18 de fevereiro de 1998.</w:t>
      </w: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Lei n.º 11.947, de 16 de junho de 2009.</w:t>
      </w: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Lei n.º 12.513, de 26 de outubro de 2011.</w:t>
      </w: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Decreto nº 6.094, de 24 de abril de 2007.</w:t>
      </w: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Decreto n° 6.286, de 5 de dezembro de 2007.</w:t>
      </w: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Decreto n° 7.083, de 27 de janeiro de 2010.</w:t>
      </w: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Resolução n° 47, de 1 de setembro de 2011, do Conselho Deliberativo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FNDE.</w:t>
      </w:r>
    </w:p>
    <w:p w:rsidR="00163ABB" w:rsidRP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Portaria Ministerial nº 971, de 9 de outubro de 2009, do Ministério da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Educação.</w:t>
      </w:r>
    </w:p>
    <w:p w:rsidR="00B177EC" w:rsidRDefault="00B177EC" w:rsidP="0016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O PRESIDENTE DO CONSELHO DELIBERATIVO DO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FUNDO NACIONAL DE DESENVOLVIMENTO DA EDUCAÇÃO,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 uso das atribuições que lhe são conferidas pelo art. 7º, § 1º, da Lei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nº 5.537, de 21 de novembro de 1968, e pelo art. 14, incisos I e II, do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Anexo I do Decreto nº 7.691, de 2 de março de 2012, e pelos </w:t>
      </w:r>
      <w:proofErr w:type="spellStart"/>
      <w:r w:rsidRPr="00163ABB">
        <w:rPr>
          <w:rFonts w:ascii="Times New Roman" w:hAnsi="Times New Roman" w:cs="Times New Roman"/>
        </w:rPr>
        <w:t>arts</w:t>
      </w:r>
      <w:proofErr w:type="spellEnd"/>
      <w:r w:rsidRPr="00163ABB">
        <w:rPr>
          <w:rFonts w:ascii="Times New Roman" w:hAnsi="Times New Roman" w:cs="Times New Roman"/>
        </w:rPr>
        <w:t>. 3º,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incisos I e II, e 6º, inciso IV, do Anexo da Resolução nº 31, de 30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setembro de 2003, neste ato representado pelo Secretário-Executivo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Ministério da Educação, conforme deliberado na Reunião Extraordinária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Conselho Deliberativo do Fundo Nacional de Desenvolvimento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Educação, realizada no dia 31 de maio de 2012,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fulcro no art. 4º, § 2º, do referenciado Decreto, e: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CONSIDERANDO a necessidade de apoiar os sistemas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ensino público na operacionalização de ações voltadas ao Redesenho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Curricular, em consonância com as novas Diretrizes Curriculares Nacionais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para o Ensino Médio, aprovadas pelo Conselho Nacional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Educação;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CONSIDERANDO a necessidade de promover ações compartilhadas,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os Estados e o Distrito Federal, para melhoria do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ensino médio e a perspectiva de universalização do acesso e permanência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todos os adolescentes de 15 a 17 anos nesta etapa da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educação básica;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CONSIDERANDO a necessidade de estabelecer ações conjuntas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entre os entes federados, que propiciem novas organizações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curriculares para o ensino médio, compatíveis com as perspectivas da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sociedade contemporânea e com os anseios dos jovens e adultos;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CONSIDERANDO a necessidade de estabelecer políticas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compartilhadas, para a ampliação dos espaços educativos no contexto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das unidades escolares, que possibilitem articulações entre o mundo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trabalho, da ciência, da tecnologia e da cultura, como pressuposto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 implantação gradativa da educação em tempo integral, resolve ad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referendum: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1º Autorizar a destinação de recursos financeiros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custeio e capital, nos moldes operacionais e regulamentares do Programa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Dinheiro Direto na Escola (PDDE), às escolas públicas dos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Estados e do Distrito Federal que possuam alunos matriculados no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ensino médio registrados no censo escolar do ano anterior ao do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atendimento, selecionadas pelas respectivas secretarias de educação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que aderirem ao Programa Ensino Médio Inovador (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), com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vistas a apoiar o desenvolvimento de propostas curriculares inovadoras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nessa etapa de ensino.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§ 1º As Secretarias de Educação dos Estados e do Distrito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Federal, após formalizada a adesão ao Programa Ensino Médio Inovador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(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), apresentarão à Secretária de Educação Básica do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Ministério da Educação (SEB/MEC), o Plano de Atendimento Global,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a síntese dos Projetos de Redesenho Curricular aprovados, referentes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às escolas de suas respectivas jurisdições que tenham aderido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ao programa.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2° Quando da seleção prevista no parágrafo anterior as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respectivas Secretarias de Educação deverão observar os seguintes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critérios: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necessidade de estabelecimento de ações conjuntas para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melhoria da qualidade do processo de ensino-aprendizagem e o consequente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redesenho curricular das escolas;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existência de estrutura curricular e ambientes escolares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que possibilitem a ampliação do tempo do aluno na escola, extensiva,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gradativamente, à educação em tempo integral;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 - capacidade de articulação com outras instituições 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políticas públicas, como forma de ampliação dos espaços educativos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de aperfeiçoamento dos docentes;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 - capacidade para aprimorar o atendimento escolar voltado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às especificidades dos estudantes do turno noturno; e</w:t>
      </w:r>
      <w:r w:rsidR="00B177EC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 - escolas que desenvolvam no ensino fundamental o Programa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Mais Educação.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4º Os Projetos de Redesenho Curricular deverão contemplar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ações com a indicação das correspondentes previsões de despesas,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bem como informações pertinentes, nos seguintes </w:t>
      </w:r>
      <w:proofErr w:type="spellStart"/>
      <w:r w:rsidRPr="00163ABB">
        <w:rPr>
          <w:rFonts w:ascii="Times New Roman" w:hAnsi="Times New Roman" w:cs="Times New Roman"/>
        </w:rPr>
        <w:t>macrocampos</w:t>
      </w:r>
      <w:proofErr w:type="spellEnd"/>
      <w:r w:rsidRPr="00163ABB">
        <w:rPr>
          <w:rFonts w:ascii="Times New Roman" w:hAnsi="Times New Roman" w:cs="Times New Roman"/>
        </w:rPr>
        <w:t>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I. Acompanhamento Pedagógico (Linguagens, Matemática,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Ciências da Natureza e Ciências Humanas);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II. Leitura e Letramento 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III. Iniciação Científica e Pesquisa;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IV. Línguas Adicionais/Estrangeiras;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V. Cultura Corporal;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VI. Produção e Fruição das Artes;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VII. Comunicação, Uso de Mídias e Cultura Digital;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VIII. Participação Estudantil.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5º Os Projetos de Redesenho Curricular deverão observar: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I. Obrigatoriedade contemplar ações nos </w:t>
      </w:r>
      <w:proofErr w:type="spellStart"/>
      <w:r w:rsidRPr="00163ABB">
        <w:rPr>
          <w:rFonts w:ascii="Times New Roman" w:hAnsi="Times New Roman" w:cs="Times New Roman"/>
        </w:rPr>
        <w:t>macrocampos</w:t>
      </w:r>
      <w:proofErr w:type="spellEnd"/>
      <w:r w:rsidRPr="00163ABB">
        <w:rPr>
          <w:rFonts w:ascii="Times New Roman" w:hAnsi="Times New Roman" w:cs="Times New Roman"/>
        </w:rPr>
        <w:t xml:space="preserve"> I, II 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III, em conformidade com as necessidades e interesses da comunidade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escolar; e ações em no mínimo mais dois </w:t>
      </w:r>
      <w:proofErr w:type="spellStart"/>
      <w:r w:rsidRPr="00163ABB">
        <w:rPr>
          <w:rFonts w:ascii="Times New Roman" w:hAnsi="Times New Roman" w:cs="Times New Roman"/>
        </w:rPr>
        <w:t>macrocampos</w:t>
      </w:r>
      <w:proofErr w:type="spellEnd"/>
      <w:r w:rsidRPr="00163ABB">
        <w:rPr>
          <w:rFonts w:ascii="Times New Roman" w:hAnsi="Times New Roman" w:cs="Times New Roman"/>
        </w:rPr>
        <w:t xml:space="preserve"> especificados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nos incisos, IV, V, VI, VII, VIII, escolhidos conjuntamente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a equipe pedagógica, professores e comunidade escolar;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II. Coerência e relevância das informações relativas às unidades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escolares de ensino médio selecionadas, com identificação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aspectos que dificultem o sucesso na aprendizagem e dos que contribuem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para a melhoria da qualidade do ensino, possibilitando 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análise do contexto escolar como instrumento preliminar de definição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das proposições a serem por eles contempladas;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III. Coerência e relevância das atividades neles propostas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a descrição dos problemas identificados no diagnóstico, dando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ênfase às ações que contribuem diretamente para a melhoria da qualidade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ensino;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IV. Aspectos da gestão educacional que garantam a implantação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das ações;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V. Articulações possíveis com outros programas do Ministério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Educação, desenvolvidos pelas Secretarias de Educação dos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Estados e do Distrito Federal, em especial os Programas Mais Educação,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 Saúde na Escola (PSE), o Programa Nacional de Acesso ao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Ensino Técnico e Emprego (PRONATEC) e o Programa Nacional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Educação do Campo (PRONACAMPO) e com outros programas 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ações </w:t>
      </w:r>
      <w:proofErr w:type="spellStart"/>
      <w:r w:rsidRPr="00163ABB">
        <w:rPr>
          <w:rFonts w:ascii="Times New Roman" w:hAnsi="Times New Roman" w:cs="Times New Roman"/>
        </w:rPr>
        <w:t>intersetoriais</w:t>
      </w:r>
      <w:proofErr w:type="spellEnd"/>
      <w:r w:rsidRPr="00163ABB">
        <w:rPr>
          <w:rFonts w:ascii="Times New Roman" w:hAnsi="Times New Roman" w:cs="Times New Roman"/>
        </w:rPr>
        <w:t>; e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VI. Aspectos pertinentes à ampliação dos ambientes educativos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a possibilidade de articulações com outras instituições,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como Universidades, Institutos Federais, Museus, Zoológicos, Teatros,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Cinemas, Fundações de Pesquisa, Ciências e Tecnologia, Tele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Centros e outras que possam contribuir para esse fim.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6° As Unidades Executoras Próprias (</w:t>
      </w:r>
      <w:proofErr w:type="spellStart"/>
      <w:r w:rsidRPr="00163ABB">
        <w:rPr>
          <w:rFonts w:ascii="Times New Roman" w:hAnsi="Times New Roman" w:cs="Times New Roman"/>
        </w:rPr>
        <w:t>UEx</w:t>
      </w:r>
      <w:proofErr w:type="spellEnd"/>
      <w:r w:rsidRPr="00163ABB">
        <w:rPr>
          <w:rFonts w:ascii="Times New Roman" w:hAnsi="Times New Roman" w:cs="Times New Roman"/>
        </w:rPr>
        <w:t>), representativas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das escolas referidas no caput e no §1º deste artigo, farão a inserção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seus Projetos de Redesenho Curricular, na aba do Ensino Médio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Inovador por meio do PDE Interativo, disponível no s</w:t>
      </w:r>
      <w:r w:rsidR="00B177EC">
        <w:rPr>
          <w:rFonts w:ascii="Times New Roman" w:hAnsi="Times New Roman" w:cs="Times New Roman"/>
        </w:rPr>
        <w:t>ite</w:t>
      </w:r>
      <w:r w:rsidRPr="00163ABB">
        <w:rPr>
          <w:rFonts w:ascii="Times New Roman" w:hAnsi="Times New Roman" w:cs="Times New Roman"/>
        </w:rPr>
        <w:t xml:space="preserve"> http://pdeinterativo.mec.gov.br, constituindo tal procedimento sua adesão ao</w:t>
      </w:r>
      <w:r w:rsidR="00B177EC">
        <w:rPr>
          <w:rFonts w:ascii="Times New Roman" w:hAnsi="Times New Roman" w:cs="Times New Roman"/>
        </w:rPr>
        <w:t xml:space="preserve"> 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Art. 3º Às escolas de que trata o artigo anterior, que tenham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seus Projetos de Redesenho Curricular aprovados pelas Secretarias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Educação dos Estados e do Distrito Federal, serão destinados, por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meio de suas Unidades Executoras Próprias (</w:t>
      </w:r>
      <w:proofErr w:type="spellStart"/>
      <w:r w:rsidRPr="00163ABB">
        <w:rPr>
          <w:rFonts w:ascii="Times New Roman" w:hAnsi="Times New Roman" w:cs="Times New Roman"/>
        </w:rPr>
        <w:t>UEx</w:t>
      </w:r>
      <w:proofErr w:type="spellEnd"/>
      <w:r w:rsidRPr="00163ABB">
        <w:rPr>
          <w:rFonts w:ascii="Times New Roman" w:hAnsi="Times New Roman" w:cs="Times New Roman"/>
        </w:rPr>
        <w:t>), recursos de custeio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capital, tomando como parâmetros os intervalos de classe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número de alunos matriculados no ensino médio da unidade educacional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extraído do censo escolar do ano anterior ao do repasse, 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carga horária escolar e os correspondentes valores de referência, conforme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as Tabelas 1 e 2 a seguir: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Tabela 1 - Escolas com Jornada Escolar de 5 (cinco)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Horas Diárias e/ou com Oferta de Ensino Médio no Período Noturno;</w:t>
      </w:r>
    </w:p>
    <w:p w:rsidR="00163ABB" w:rsidRDefault="00163ABB" w:rsidP="00B177E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31"/>
      </w:tblGrid>
      <w:tr w:rsidR="00BD7C7C" w:rsidTr="00E425A3">
        <w:tc>
          <w:tcPr>
            <w:tcW w:w="3969" w:type="dxa"/>
            <w:vMerge w:val="restart"/>
          </w:tcPr>
          <w:p w:rsidR="00BD7C7C" w:rsidRDefault="00BD7C7C" w:rsidP="00B17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Intervalo de Classe de Número de Alunos Matriculados no Ensino Médio da Unidade Educacional</w:t>
            </w:r>
          </w:p>
        </w:tc>
        <w:tc>
          <w:tcPr>
            <w:tcW w:w="5133" w:type="dxa"/>
            <w:gridSpan w:val="3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</w:p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Valores de Repasse (R$)</w:t>
            </w:r>
          </w:p>
        </w:tc>
      </w:tr>
      <w:tr w:rsidR="00BD7C7C" w:rsidTr="00E425A3">
        <w:tc>
          <w:tcPr>
            <w:tcW w:w="3969" w:type="dxa"/>
            <w:vMerge/>
          </w:tcPr>
          <w:p w:rsidR="00BD7C7C" w:rsidRDefault="00BD7C7C" w:rsidP="00B17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Custeio</w:t>
            </w:r>
          </w:p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(70%)</w:t>
            </w:r>
          </w:p>
        </w:tc>
        <w:tc>
          <w:tcPr>
            <w:tcW w:w="170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</w:t>
            </w:r>
          </w:p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173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BD7C7C" w:rsidTr="00E425A3">
        <w:tc>
          <w:tcPr>
            <w:tcW w:w="3969" w:type="dxa"/>
          </w:tcPr>
          <w:p w:rsidR="00BD7C7C" w:rsidRDefault="00BD7C7C" w:rsidP="00B17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100 alunos</w:t>
            </w:r>
          </w:p>
        </w:tc>
        <w:tc>
          <w:tcPr>
            <w:tcW w:w="1701" w:type="dxa"/>
          </w:tcPr>
          <w:p w:rsidR="00BD7C7C" w:rsidRDefault="00BD7C7C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14.000,00</w:t>
            </w:r>
          </w:p>
        </w:tc>
        <w:tc>
          <w:tcPr>
            <w:tcW w:w="170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73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</w:tr>
      <w:tr w:rsidR="00BD7C7C" w:rsidTr="00E425A3">
        <w:tc>
          <w:tcPr>
            <w:tcW w:w="3969" w:type="dxa"/>
          </w:tcPr>
          <w:p w:rsidR="00BD7C7C" w:rsidRDefault="00BD7C7C" w:rsidP="00B17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a 300</w:t>
            </w:r>
          </w:p>
        </w:tc>
        <w:tc>
          <w:tcPr>
            <w:tcW w:w="1701" w:type="dxa"/>
          </w:tcPr>
          <w:p w:rsidR="00BD7C7C" w:rsidRDefault="00BD7C7C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70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9.000,00</w:t>
            </w:r>
          </w:p>
        </w:tc>
        <w:tc>
          <w:tcPr>
            <w:tcW w:w="173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  <w:tr w:rsidR="00BD7C7C" w:rsidTr="00E425A3">
        <w:tc>
          <w:tcPr>
            <w:tcW w:w="3969" w:type="dxa"/>
          </w:tcPr>
          <w:p w:rsidR="00BD7C7C" w:rsidRDefault="00BD7C7C" w:rsidP="00B17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a 500</w:t>
            </w:r>
          </w:p>
        </w:tc>
        <w:tc>
          <w:tcPr>
            <w:tcW w:w="1701" w:type="dxa"/>
          </w:tcPr>
          <w:p w:rsidR="00BD7C7C" w:rsidRDefault="00BD7C7C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28.000,00</w:t>
            </w:r>
          </w:p>
        </w:tc>
        <w:tc>
          <w:tcPr>
            <w:tcW w:w="170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73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  <w:tr w:rsidR="00BD7C7C" w:rsidTr="00E425A3">
        <w:tc>
          <w:tcPr>
            <w:tcW w:w="3969" w:type="dxa"/>
          </w:tcPr>
          <w:p w:rsidR="00BD7C7C" w:rsidRDefault="00BD7C7C" w:rsidP="00B17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a 700</w:t>
            </w:r>
          </w:p>
        </w:tc>
        <w:tc>
          <w:tcPr>
            <w:tcW w:w="1701" w:type="dxa"/>
          </w:tcPr>
          <w:p w:rsidR="00BD7C7C" w:rsidRDefault="00BD7C7C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70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73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  <w:tr w:rsidR="00BD7C7C" w:rsidTr="00E425A3">
        <w:tc>
          <w:tcPr>
            <w:tcW w:w="3969" w:type="dxa"/>
          </w:tcPr>
          <w:p w:rsidR="00BD7C7C" w:rsidRDefault="00BD7C7C" w:rsidP="00B17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a 900</w:t>
            </w:r>
          </w:p>
        </w:tc>
        <w:tc>
          <w:tcPr>
            <w:tcW w:w="1701" w:type="dxa"/>
          </w:tcPr>
          <w:p w:rsidR="00BD7C7C" w:rsidRDefault="00BD7C7C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42.000,00</w:t>
            </w:r>
          </w:p>
        </w:tc>
        <w:tc>
          <w:tcPr>
            <w:tcW w:w="170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18.000,00</w:t>
            </w:r>
          </w:p>
        </w:tc>
        <w:tc>
          <w:tcPr>
            <w:tcW w:w="173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  <w:tr w:rsidR="00BD7C7C" w:rsidTr="00E425A3">
        <w:tc>
          <w:tcPr>
            <w:tcW w:w="3969" w:type="dxa"/>
          </w:tcPr>
          <w:p w:rsidR="00BD7C7C" w:rsidRDefault="00BD7C7C" w:rsidP="00B17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a 1100</w:t>
            </w:r>
          </w:p>
        </w:tc>
        <w:tc>
          <w:tcPr>
            <w:tcW w:w="1701" w:type="dxa"/>
          </w:tcPr>
          <w:p w:rsidR="00BD7C7C" w:rsidRDefault="00BD7C7C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49.000,00</w:t>
            </w:r>
          </w:p>
        </w:tc>
        <w:tc>
          <w:tcPr>
            <w:tcW w:w="170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73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  <w:tr w:rsidR="00BD7C7C" w:rsidTr="00E425A3">
        <w:tc>
          <w:tcPr>
            <w:tcW w:w="3969" w:type="dxa"/>
          </w:tcPr>
          <w:p w:rsidR="00BD7C7C" w:rsidRDefault="00BD7C7C" w:rsidP="00B17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 a 1300</w:t>
            </w:r>
          </w:p>
        </w:tc>
        <w:tc>
          <w:tcPr>
            <w:tcW w:w="1701" w:type="dxa"/>
          </w:tcPr>
          <w:p w:rsidR="00BD7C7C" w:rsidRDefault="00BD7C7C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56.000,00</w:t>
            </w:r>
          </w:p>
        </w:tc>
        <w:tc>
          <w:tcPr>
            <w:tcW w:w="170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173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  <w:tr w:rsidR="00BD7C7C" w:rsidTr="00E425A3">
        <w:tc>
          <w:tcPr>
            <w:tcW w:w="3969" w:type="dxa"/>
          </w:tcPr>
          <w:p w:rsidR="00BD7C7C" w:rsidRDefault="00BD7C7C" w:rsidP="00E42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 a 1400</w:t>
            </w:r>
          </w:p>
        </w:tc>
        <w:tc>
          <w:tcPr>
            <w:tcW w:w="1701" w:type="dxa"/>
          </w:tcPr>
          <w:p w:rsidR="00BD7C7C" w:rsidRDefault="00BD7C7C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63.000,00</w:t>
            </w:r>
          </w:p>
        </w:tc>
        <w:tc>
          <w:tcPr>
            <w:tcW w:w="1701" w:type="dxa"/>
          </w:tcPr>
          <w:p w:rsidR="00BD7C7C" w:rsidRDefault="00BD7C7C" w:rsidP="00BD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27.000,00</w:t>
            </w:r>
          </w:p>
        </w:tc>
        <w:tc>
          <w:tcPr>
            <w:tcW w:w="1731" w:type="dxa"/>
          </w:tcPr>
          <w:p w:rsidR="00BD7C7C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  <w:tr w:rsidR="00E425A3" w:rsidTr="00E425A3">
        <w:tc>
          <w:tcPr>
            <w:tcW w:w="3969" w:type="dxa"/>
          </w:tcPr>
          <w:p w:rsidR="00E425A3" w:rsidRDefault="00E425A3" w:rsidP="00B17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 de 1401</w:t>
            </w:r>
          </w:p>
        </w:tc>
        <w:tc>
          <w:tcPr>
            <w:tcW w:w="1701" w:type="dxa"/>
          </w:tcPr>
          <w:p w:rsidR="00E425A3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701" w:type="dxa"/>
          </w:tcPr>
          <w:p w:rsidR="00E425A3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731" w:type="dxa"/>
          </w:tcPr>
          <w:p w:rsidR="00E425A3" w:rsidRDefault="00BD7C7C" w:rsidP="00E4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</w:tbl>
    <w:p w:rsidR="00B177EC" w:rsidRPr="00163ABB" w:rsidRDefault="00B177EC" w:rsidP="00B177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Tabela 2 - Escolas com Jornada Escolar em Tempo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Integral de, no Mínimo, 7 (sete) Horas Diárias.</w:t>
      </w:r>
    </w:p>
    <w:p w:rsidR="00163ABB" w:rsidRDefault="00163ABB" w:rsidP="00B177E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31"/>
      </w:tblGrid>
      <w:tr w:rsidR="001E2EFE" w:rsidTr="001E2EFE">
        <w:tc>
          <w:tcPr>
            <w:tcW w:w="3969" w:type="dxa"/>
            <w:vMerge w:val="restart"/>
          </w:tcPr>
          <w:p w:rsidR="001E2EFE" w:rsidRDefault="001E2EFE" w:rsidP="00860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Intervalo de Classe de Número de Alunos Matriculados no Ensino Médio da Unidade Educacional</w:t>
            </w:r>
          </w:p>
        </w:tc>
        <w:tc>
          <w:tcPr>
            <w:tcW w:w="5133" w:type="dxa"/>
            <w:gridSpan w:val="3"/>
          </w:tcPr>
          <w:p w:rsidR="001E2EFE" w:rsidRDefault="001E2EFE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Valores de Repasse (R$)</w:t>
            </w:r>
          </w:p>
        </w:tc>
      </w:tr>
      <w:tr w:rsidR="001E2EFE" w:rsidTr="001E2EFE">
        <w:tc>
          <w:tcPr>
            <w:tcW w:w="3969" w:type="dxa"/>
            <w:vMerge/>
          </w:tcPr>
          <w:p w:rsidR="001E2EFE" w:rsidRDefault="001E2EFE" w:rsidP="00860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2EFE" w:rsidRDefault="001E2EFE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Custeio</w:t>
            </w:r>
          </w:p>
          <w:p w:rsidR="001E2EFE" w:rsidRDefault="001E2EFE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(70%)</w:t>
            </w:r>
          </w:p>
        </w:tc>
        <w:tc>
          <w:tcPr>
            <w:tcW w:w="1701" w:type="dxa"/>
          </w:tcPr>
          <w:p w:rsidR="001E2EFE" w:rsidRDefault="001E2EFE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Custeio</w:t>
            </w:r>
          </w:p>
          <w:p w:rsidR="001E2EFE" w:rsidRDefault="001E2EFE" w:rsidP="00B5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567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1731" w:type="dxa"/>
          </w:tcPr>
          <w:p w:rsidR="001E2EFE" w:rsidRDefault="00B56770" w:rsidP="0086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C256BB" w:rsidTr="001E2EFE">
        <w:tc>
          <w:tcPr>
            <w:tcW w:w="3969" w:type="dxa"/>
          </w:tcPr>
          <w:p w:rsidR="00C256BB" w:rsidRDefault="00C256BB" w:rsidP="00860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100 alunos</w:t>
            </w:r>
          </w:p>
        </w:tc>
        <w:tc>
          <w:tcPr>
            <w:tcW w:w="1701" w:type="dxa"/>
          </w:tcPr>
          <w:p w:rsidR="00C256BB" w:rsidRDefault="00B56770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19.600,00</w:t>
            </w:r>
          </w:p>
        </w:tc>
        <w:tc>
          <w:tcPr>
            <w:tcW w:w="1701" w:type="dxa"/>
          </w:tcPr>
          <w:p w:rsidR="00C256BB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8.400,00</w:t>
            </w:r>
          </w:p>
        </w:tc>
        <w:tc>
          <w:tcPr>
            <w:tcW w:w="1731" w:type="dxa"/>
          </w:tcPr>
          <w:p w:rsidR="00C256BB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28.000,00</w:t>
            </w:r>
          </w:p>
        </w:tc>
      </w:tr>
      <w:tr w:rsidR="00C256BB" w:rsidTr="001E2EFE">
        <w:tc>
          <w:tcPr>
            <w:tcW w:w="3969" w:type="dxa"/>
          </w:tcPr>
          <w:p w:rsidR="00C256BB" w:rsidRDefault="00C256BB" w:rsidP="00860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a 300</w:t>
            </w:r>
          </w:p>
        </w:tc>
        <w:tc>
          <w:tcPr>
            <w:tcW w:w="1701" w:type="dxa"/>
          </w:tcPr>
          <w:p w:rsidR="00C256BB" w:rsidRDefault="00B56770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29.400,00</w:t>
            </w:r>
          </w:p>
        </w:tc>
        <w:tc>
          <w:tcPr>
            <w:tcW w:w="1701" w:type="dxa"/>
          </w:tcPr>
          <w:p w:rsidR="00C256BB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12.600,00</w:t>
            </w:r>
          </w:p>
        </w:tc>
        <w:tc>
          <w:tcPr>
            <w:tcW w:w="1731" w:type="dxa"/>
          </w:tcPr>
          <w:p w:rsidR="00C256BB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42.000,00</w:t>
            </w:r>
          </w:p>
        </w:tc>
      </w:tr>
      <w:tr w:rsidR="001E2EFE" w:rsidTr="001E2EFE">
        <w:tc>
          <w:tcPr>
            <w:tcW w:w="3969" w:type="dxa"/>
          </w:tcPr>
          <w:p w:rsidR="001E2EFE" w:rsidRDefault="001E2EFE" w:rsidP="00860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a 500</w:t>
            </w:r>
          </w:p>
        </w:tc>
        <w:tc>
          <w:tcPr>
            <w:tcW w:w="1701" w:type="dxa"/>
          </w:tcPr>
          <w:p w:rsidR="001E2EFE" w:rsidRDefault="00B56770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39.200,00</w:t>
            </w:r>
          </w:p>
        </w:tc>
        <w:tc>
          <w:tcPr>
            <w:tcW w:w="170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16.800,00</w:t>
            </w:r>
          </w:p>
        </w:tc>
        <w:tc>
          <w:tcPr>
            <w:tcW w:w="173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56.000,00</w:t>
            </w:r>
          </w:p>
        </w:tc>
      </w:tr>
      <w:tr w:rsidR="001E2EFE" w:rsidTr="001E2EFE">
        <w:tc>
          <w:tcPr>
            <w:tcW w:w="3969" w:type="dxa"/>
          </w:tcPr>
          <w:p w:rsidR="001E2EFE" w:rsidRDefault="001E2EFE" w:rsidP="00860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a 700</w:t>
            </w:r>
          </w:p>
        </w:tc>
        <w:tc>
          <w:tcPr>
            <w:tcW w:w="1701" w:type="dxa"/>
          </w:tcPr>
          <w:p w:rsidR="001E2EFE" w:rsidRDefault="00B56770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49.000,00</w:t>
            </w:r>
          </w:p>
        </w:tc>
        <w:tc>
          <w:tcPr>
            <w:tcW w:w="170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73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</w:t>
            </w:r>
          </w:p>
        </w:tc>
      </w:tr>
      <w:tr w:rsidR="001E2EFE" w:rsidTr="001E2EFE">
        <w:tc>
          <w:tcPr>
            <w:tcW w:w="3969" w:type="dxa"/>
          </w:tcPr>
          <w:p w:rsidR="001E2EFE" w:rsidRDefault="001E2EFE" w:rsidP="00860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a 900</w:t>
            </w:r>
          </w:p>
        </w:tc>
        <w:tc>
          <w:tcPr>
            <w:tcW w:w="1701" w:type="dxa"/>
          </w:tcPr>
          <w:p w:rsidR="001E2EFE" w:rsidRDefault="00B56770" w:rsidP="00B5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58.800,00</w:t>
            </w:r>
          </w:p>
        </w:tc>
        <w:tc>
          <w:tcPr>
            <w:tcW w:w="170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25.200,00</w:t>
            </w:r>
          </w:p>
        </w:tc>
        <w:tc>
          <w:tcPr>
            <w:tcW w:w="173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84.000,00</w:t>
            </w:r>
          </w:p>
        </w:tc>
      </w:tr>
      <w:tr w:rsidR="001E2EFE" w:rsidTr="001E2EFE">
        <w:tc>
          <w:tcPr>
            <w:tcW w:w="3969" w:type="dxa"/>
          </w:tcPr>
          <w:p w:rsidR="001E2EFE" w:rsidRDefault="001E2EFE" w:rsidP="00860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a 1100</w:t>
            </w:r>
          </w:p>
        </w:tc>
        <w:tc>
          <w:tcPr>
            <w:tcW w:w="1701" w:type="dxa"/>
          </w:tcPr>
          <w:p w:rsidR="001E2EFE" w:rsidRDefault="00B56770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68.600,00</w:t>
            </w:r>
          </w:p>
        </w:tc>
        <w:tc>
          <w:tcPr>
            <w:tcW w:w="170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29.400,00</w:t>
            </w:r>
          </w:p>
        </w:tc>
        <w:tc>
          <w:tcPr>
            <w:tcW w:w="173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98.000,00</w:t>
            </w:r>
          </w:p>
        </w:tc>
      </w:tr>
      <w:tr w:rsidR="001E2EFE" w:rsidTr="001E2EFE">
        <w:tc>
          <w:tcPr>
            <w:tcW w:w="3969" w:type="dxa"/>
          </w:tcPr>
          <w:p w:rsidR="001E2EFE" w:rsidRDefault="001E2EFE" w:rsidP="00860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 a 1300</w:t>
            </w:r>
          </w:p>
        </w:tc>
        <w:tc>
          <w:tcPr>
            <w:tcW w:w="1701" w:type="dxa"/>
          </w:tcPr>
          <w:p w:rsidR="001E2EFE" w:rsidRDefault="00B56770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74.400,00</w:t>
            </w:r>
          </w:p>
        </w:tc>
        <w:tc>
          <w:tcPr>
            <w:tcW w:w="170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33.600,00</w:t>
            </w:r>
          </w:p>
        </w:tc>
        <w:tc>
          <w:tcPr>
            <w:tcW w:w="1731" w:type="dxa"/>
          </w:tcPr>
          <w:p w:rsidR="001E2EFE" w:rsidRDefault="00E61962" w:rsidP="00E61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112.000,00</w:t>
            </w:r>
          </w:p>
        </w:tc>
      </w:tr>
      <w:tr w:rsidR="001E2EFE" w:rsidTr="001E2EFE">
        <w:tc>
          <w:tcPr>
            <w:tcW w:w="3969" w:type="dxa"/>
          </w:tcPr>
          <w:p w:rsidR="001E2EFE" w:rsidRDefault="001E2EFE" w:rsidP="00860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 a 1400</w:t>
            </w:r>
          </w:p>
        </w:tc>
        <w:tc>
          <w:tcPr>
            <w:tcW w:w="1701" w:type="dxa"/>
          </w:tcPr>
          <w:p w:rsidR="001E2EFE" w:rsidRDefault="00B56770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88.200,00</w:t>
            </w:r>
          </w:p>
        </w:tc>
        <w:tc>
          <w:tcPr>
            <w:tcW w:w="170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37.800,00</w:t>
            </w:r>
          </w:p>
        </w:tc>
        <w:tc>
          <w:tcPr>
            <w:tcW w:w="173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126.000,00</w:t>
            </w:r>
          </w:p>
        </w:tc>
      </w:tr>
      <w:tr w:rsidR="001E2EFE" w:rsidTr="001E2EFE">
        <w:tc>
          <w:tcPr>
            <w:tcW w:w="3969" w:type="dxa"/>
          </w:tcPr>
          <w:p w:rsidR="001E2EFE" w:rsidRDefault="001E2EFE" w:rsidP="00860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 de 1401</w:t>
            </w:r>
          </w:p>
        </w:tc>
        <w:tc>
          <w:tcPr>
            <w:tcW w:w="1701" w:type="dxa"/>
          </w:tcPr>
          <w:p w:rsidR="001E2EFE" w:rsidRDefault="00B56770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98.000,00</w:t>
            </w:r>
          </w:p>
        </w:tc>
        <w:tc>
          <w:tcPr>
            <w:tcW w:w="170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42.000,00</w:t>
            </w:r>
          </w:p>
        </w:tc>
        <w:tc>
          <w:tcPr>
            <w:tcW w:w="1731" w:type="dxa"/>
          </w:tcPr>
          <w:p w:rsidR="001E2EFE" w:rsidRDefault="00E61962" w:rsidP="00C2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140.000,00</w:t>
            </w:r>
            <w:bookmarkStart w:id="0" w:name="_GoBack"/>
            <w:bookmarkEnd w:id="0"/>
          </w:p>
        </w:tc>
      </w:tr>
    </w:tbl>
    <w:p w:rsidR="00B177EC" w:rsidRPr="00163ABB" w:rsidRDefault="00B177EC" w:rsidP="00B177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1º A relação nominal das escolas referidas no caput, com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a indicação dos respectivos números de alunos atendidos pelo 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será encaminhada pela SEB/MEC ao FNDE e divulgada no sítio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www.fnde.gov.br.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2° Os recursos financeiros previstos nesta Resolução serão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destinados exclusivamente ao desenvolvimento de propostas que visem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 dinamização das atividades de ensino, tendo como referencial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as dimensões estruturantes do ensino médio presentes nas Diretrizes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Curriculares - Trabalho, Ciência, Cultura e Tecnologia - na forma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especificada nos Projetos de Redesenho Curricular, podendo ser empregados,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observada a categoria econômica na qual se enquadrem,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em: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I. Materiais de consumo necessários ao desenvolvimento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atividades didático pedagógicas;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II. Locação de espaços físicos para utilização esporádica e/ou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contratação de serviços de infraestrutura, transporte, alimentação,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hospedagem e demais despesas relacionadas à realização de eventos;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III. Locação de equipamentos e/ou contratação de serviços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sonorização, mídia, fotografia, informática e outros relacionados à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utilização esporádica de equipamentos específicos;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IV. Contratação de serviços de consultoria de Instituições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Ensino Superior, observado o disposto nos incisos VIII e XII do caput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nos §§ 2° a 4º do art. 18 da Lei n° 12.708, de 17 de agosto de 2012,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para prestação de apoio técnico e gerencial necessário ao fortalecimento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gestão escolar e ao aperfeiçoamento profissional dos professores,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respeitado o limite de 10% do valor destinado à cobertura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despesas de custeio;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V. Aquisição de materiais didático-pedagógicos para o desenvolvimento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das atividades de ensino e aperfeiçoamento profissional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gestores e professores;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VI. Aquisição de equipamentos e mobiliários para fortalecimento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apoio das atividades docentes e melhoria do ensino, como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os destinados a laboratórios de ciências, informática, sistema de </w:t>
      </w:r>
      <w:proofErr w:type="spellStart"/>
      <w:r w:rsidRPr="00163ABB">
        <w:rPr>
          <w:rFonts w:ascii="Times New Roman" w:hAnsi="Times New Roman" w:cs="Times New Roman"/>
        </w:rPr>
        <w:t>rádio-escola</w:t>
      </w:r>
      <w:proofErr w:type="spellEnd"/>
      <w:r w:rsidRPr="00163ABB">
        <w:rPr>
          <w:rFonts w:ascii="Times New Roman" w:hAnsi="Times New Roman" w:cs="Times New Roman"/>
        </w:rPr>
        <w:t>, cinema, mídia e outros relacionados à dinamização dos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ambientes escolares;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VII. Aquisição de materiais e bens e/ou contratação de serviços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relacionados às tecnologias educacionais descritas no "Guia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Tecnologias Educacionais", disponível no sítio portal.mec.gov.br -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SEB/Programas e Ações/Guia de Orientações;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VIII. Aquisição de materiais e bens e/ou contratação de serviços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necessários à adequação dos ambientes escolares relacionados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às práticas pedagógicas indicadas nos projetos; e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IX. No ressarcimento de despesas com transporte e alimentação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alunos-monitores que atuarão como auxiliar do professor,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tanto em sala de aula quanto no </w:t>
      </w:r>
      <w:proofErr w:type="spellStart"/>
      <w:r w:rsidRPr="00163ABB">
        <w:rPr>
          <w:rFonts w:ascii="Times New Roman" w:hAnsi="Times New Roman" w:cs="Times New Roman"/>
        </w:rPr>
        <w:t>contra-turno</w:t>
      </w:r>
      <w:proofErr w:type="spellEnd"/>
      <w:r w:rsidRPr="00163ABB">
        <w:rPr>
          <w:rFonts w:ascii="Times New Roman" w:hAnsi="Times New Roman" w:cs="Times New Roman"/>
        </w:rPr>
        <w:t xml:space="preserve"> nas atividades propostas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no(s) </w:t>
      </w:r>
      <w:proofErr w:type="spellStart"/>
      <w:r w:rsidRPr="00163ABB">
        <w:rPr>
          <w:rFonts w:ascii="Times New Roman" w:hAnsi="Times New Roman" w:cs="Times New Roman"/>
        </w:rPr>
        <w:t>macrocampo</w:t>
      </w:r>
      <w:proofErr w:type="spellEnd"/>
      <w:r w:rsidRPr="00163ABB">
        <w:rPr>
          <w:rFonts w:ascii="Times New Roman" w:hAnsi="Times New Roman" w:cs="Times New Roman"/>
        </w:rPr>
        <w:t>(s).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3° As atividades desempenhadas pelos alunos-monitores a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que se refere o inciso IX do parágrafo anterior serão consideradas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natureza voluntária, na forma definida na Lei nº 9.608, de 18 de</w:t>
      </w:r>
      <w:r w:rsidR="00B177EC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fevereiro de 1998.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4º O ressarcimento das despesas com transporte e alimentação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alunos-monitores que auxiliarão o(s) professor(es), tanto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em sala de aula quanto no </w:t>
      </w:r>
      <w:proofErr w:type="spellStart"/>
      <w:r w:rsidRPr="00163ABB">
        <w:rPr>
          <w:rFonts w:ascii="Times New Roman" w:hAnsi="Times New Roman" w:cs="Times New Roman"/>
        </w:rPr>
        <w:t>contra-turno</w:t>
      </w:r>
      <w:proofErr w:type="spellEnd"/>
      <w:r w:rsidRPr="00163ABB">
        <w:rPr>
          <w:rFonts w:ascii="Times New Roman" w:hAnsi="Times New Roman" w:cs="Times New Roman"/>
        </w:rPr>
        <w:t>, nas atividades propostas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no(s) </w:t>
      </w:r>
      <w:proofErr w:type="spellStart"/>
      <w:r w:rsidRPr="00163ABB">
        <w:rPr>
          <w:rFonts w:ascii="Times New Roman" w:hAnsi="Times New Roman" w:cs="Times New Roman"/>
        </w:rPr>
        <w:t>macrocampo</w:t>
      </w:r>
      <w:proofErr w:type="spellEnd"/>
      <w:r w:rsidRPr="00163ABB">
        <w:rPr>
          <w:rFonts w:ascii="Times New Roman" w:hAnsi="Times New Roman" w:cs="Times New Roman"/>
        </w:rPr>
        <w:t>(s) previsto no inciso IX do § 4° do art. 2º, será: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calculado de acordo com o número de turmas monitoradas,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considerando o valor máximo de R$ 100,00 (cem reais)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mensais por turma monitorada, respeitado o limite de utilização, para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essa finalidade, de até 5% (cinco por cento) do total de recursos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transferidos para cobertura de despesas de custeio;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II - efetivado mediante apresentação de Recibos de Ressarcimento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Mensal pelos beneficiários às respectivas </w:t>
      </w:r>
      <w:proofErr w:type="spellStart"/>
      <w:r w:rsidRPr="00163ABB">
        <w:rPr>
          <w:rFonts w:ascii="Times New Roman" w:hAnsi="Times New Roman" w:cs="Times New Roman"/>
        </w:rPr>
        <w:t>UEx</w:t>
      </w:r>
      <w:proofErr w:type="spellEnd"/>
      <w:r w:rsidRPr="00163ABB">
        <w:rPr>
          <w:rFonts w:ascii="Times New Roman" w:hAnsi="Times New Roman" w:cs="Times New Roman"/>
        </w:rPr>
        <w:t>, os quais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deverão ser anexados ao Relatório Mensal de Atividades Desenvolvidas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por Monitor Voltadas ao Redesenho Curricular e mantidos em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arquivo pelo prazo e para o fim estabelecidos pelos normativos do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FNDE.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5º As despesas com a execução das ações previstas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nesta Resolução correrão à custa de dotação orçamentária consignada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anualmente ao FNDE, observando os valores autorizados na ação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específica, limites de movimentação, empenho e pagamento da programação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orçamentária e financeira anual do governo federal.</w:t>
      </w:r>
    </w:p>
    <w:p w:rsidR="009B5FDA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6º Os recursos financeiros transferidos sob a égide desta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Resolução serão depositados em conta bancária específica aberta pelo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FNDE, na mesma agência bancária depositária dos recursos do PDDE.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Parágrafo único. Para fins de operacionalização e monitoramento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repasses pelo FNDE, identificação das contas bancárias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específicas, bem como para execução e prestações de contas dos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recursos pelas entidades beneficiárias, os repasses financeiros de que</w:t>
      </w:r>
      <w:r w:rsidR="009B5FDA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trata essa resolução integrarão a ação denominada PDDE Qualidade.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7º A execução dos recursos de que trata essa Resolução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deverá ocorrer até 31 de dezembro do ano em que tenha sido efetivado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 respectivo crédito nas contas bancárias específicas das</w:t>
      </w:r>
      <w:r w:rsidR="001C65B4">
        <w:rPr>
          <w:rFonts w:ascii="Times New Roman" w:hAnsi="Times New Roman" w:cs="Times New Roman"/>
        </w:rPr>
        <w:t xml:space="preserve"> </w:t>
      </w:r>
      <w:proofErr w:type="spellStart"/>
      <w:r w:rsidRPr="00163ABB">
        <w:rPr>
          <w:rFonts w:ascii="Times New Roman" w:hAnsi="Times New Roman" w:cs="Times New Roman"/>
        </w:rPr>
        <w:t>UEx</w:t>
      </w:r>
      <w:proofErr w:type="spellEnd"/>
      <w:r w:rsidRPr="00163ABB">
        <w:rPr>
          <w:rFonts w:ascii="Times New Roman" w:hAnsi="Times New Roman" w:cs="Times New Roman"/>
        </w:rPr>
        <w:t>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1º Os saldos de recursos financeiros, como tais entendidas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as disponibilidades existentes em 31 de dezembro nas contas específicas,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poderão ser reprogramados pelas </w:t>
      </w:r>
      <w:proofErr w:type="spellStart"/>
      <w:r w:rsidRPr="00163ABB">
        <w:rPr>
          <w:rFonts w:ascii="Times New Roman" w:hAnsi="Times New Roman" w:cs="Times New Roman"/>
        </w:rPr>
        <w:t>UEx</w:t>
      </w:r>
      <w:proofErr w:type="spellEnd"/>
      <w:r w:rsidRPr="00163ABB">
        <w:rPr>
          <w:rFonts w:ascii="Times New Roman" w:hAnsi="Times New Roman" w:cs="Times New Roman"/>
        </w:rPr>
        <w:t>, obedecendo às classificações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custeio e capital nas quais foram repassados, para aplicação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 exercício seguinte, com estrita observância de seu emprego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nos objetivos da ação programática.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§ 2º Na hipótese do saldo de que trata o parágrafo anterior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ultrapassar a 30% (trinta por cento) do total de recursos disponíveis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 exercício, a parcela excedente será deduzida de eventual repasse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ao qual a </w:t>
      </w:r>
      <w:proofErr w:type="spellStart"/>
      <w:r w:rsidRPr="00163ABB">
        <w:rPr>
          <w:rFonts w:ascii="Times New Roman" w:hAnsi="Times New Roman" w:cs="Times New Roman"/>
        </w:rPr>
        <w:t>UEx</w:t>
      </w:r>
      <w:proofErr w:type="spellEnd"/>
      <w:r w:rsidRPr="00163ABB">
        <w:rPr>
          <w:rFonts w:ascii="Times New Roman" w:hAnsi="Times New Roman" w:cs="Times New Roman"/>
        </w:rPr>
        <w:t xml:space="preserve"> fizer jus no exercício subsequente, voltado à ação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PDDE Qualidade.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§ 3º Para efeito do disposto no parágrafo anterior, considera</w:t>
      </w:r>
      <w:r w:rsidR="001C65B4">
        <w:rPr>
          <w:rFonts w:ascii="Times New Roman" w:hAnsi="Times New Roman" w:cs="Times New Roman"/>
        </w:rPr>
        <w:t>-</w:t>
      </w:r>
      <w:r w:rsidRPr="00163ABB">
        <w:rPr>
          <w:rFonts w:ascii="Times New Roman" w:hAnsi="Times New Roman" w:cs="Times New Roman"/>
        </w:rPr>
        <w:t>se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total de recursos disponíveis no exercício, o somatório de valores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repassados no ano para a ação PDDE Qualidade, de eventuais saldos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reprogramados de exercícios anteriores, referentes a essa ação, e de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rendimentos de aplicações no mercado financeiro.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8º O FNDE, para operacionalizar os repasses previstos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nesta Resolução, contará com as parcerias da Secretaria de Educação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Básica do Ministério da Educação (SEB/MEC), dos Governos Estaduais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e do Distrito Federal (Entidades Executoras - </w:t>
      </w:r>
      <w:proofErr w:type="spellStart"/>
      <w:r w:rsidRPr="00163ABB">
        <w:rPr>
          <w:rFonts w:ascii="Times New Roman" w:hAnsi="Times New Roman" w:cs="Times New Roman"/>
        </w:rPr>
        <w:t>EEx</w:t>
      </w:r>
      <w:proofErr w:type="spellEnd"/>
      <w:r w:rsidRPr="00163ABB">
        <w:rPr>
          <w:rFonts w:ascii="Times New Roman" w:hAnsi="Times New Roman" w:cs="Times New Roman"/>
        </w:rPr>
        <w:t xml:space="preserve">), das </w:t>
      </w:r>
      <w:proofErr w:type="spellStart"/>
      <w:r w:rsidRPr="00163ABB">
        <w:rPr>
          <w:rFonts w:ascii="Times New Roman" w:hAnsi="Times New Roman" w:cs="Times New Roman"/>
        </w:rPr>
        <w:t>UEx</w:t>
      </w:r>
      <w:proofErr w:type="spellEnd"/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das escolas que representam, cabendo, entre outras atribuições previstas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 normativo do PDDE que estiver em vigor: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I - à SEB/MEC: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a) prestar assistência técnica às Secretarias de Educação dos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Estados e do Distrito Federal, fornecendo-lhes as orientações necessárias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para que seja assegurada a implementação dos Projetos de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Redesenho Curricular referente ao ensino médio inovador;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b) validar os Planos de Atendimento Global, remetidos pelas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Secretarias de Educação dos Estados e do Distrito Federal, respeitadas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as diretrizes do Programa Ensino Médio Inovador (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) e a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regulamentação específica do Programa Dinheiro Direto na Escola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(PDDE);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c) encaminhar ao FNDE a relação nominal das escolas que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tiveram seus Projetos de Redesenho Curricular aprovados, com a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indicação dos respectivos números de alunos atendidos pelo 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;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d) manter articulação com as Secretarias de Educação, para a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realização de atividades de acompanhamento e avaliação, de maneira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 garantir a boa e regular aplicação dos recursos em favor das escolas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beneficiárias e o cumprimento das metas preestabelecidas.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II - à </w:t>
      </w:r>
      <w:proofErr w:type="spellStart"/>
      <w:r w:rsidRPr="00163ABB">
        <w:rPr>
          <w:rFonts w:ascii="Times New Roman" w:hAnsi="Times New Roman" w:cs="Times New Roman"/>
        </w:rPr>
        <w:t>EEx</w:t>
      </w:r>
      <w:proofErr w:type="spellEnd"/>
      <w:r w:rsidRPr="00163ABB">
        <w:rPr>
          <w:rFonts w:ascii="Times New Roman" w:hAnsi="Times New Roman" w:cs="Times New Roman"/>
        </w:rPr>
        <w:t>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a) selecionar e enviar à SEB/MEC a relação nominal das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escolas que elaboraram e tiveram seus Projetos de Redesenho Curricular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aprovados, com os seus respectivos códigos no censo escolar,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observados os critérios estabelecidos no § 3º do art. 2º;</w:t>
      </w:r>
    </w:p>
    <w:p w:rsidR="001C65B4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b) analisar, promover possíveis ajustes que atendam aos princípios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Programa Ensino Médio Inovador (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), sistematizar e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referendar os Projetos de Redesenho Curricular das escolas selecionadas;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c) elaborar o Plano de Atendimento Global, com a consolidação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dos Projetos de Redesenho Curricular das escolas, e enviá</w:t>
      </w:r>
      <w:r w:rsidR="001C65B4">
        <w:rPr>
          <w:rFonts w:ascii="Times New Roman" w:hAnsi="Times New Roman" w:cs="Times New Roman"/>
        </w:rPr>
        <w:t>-</w:t>
      </w:r>
      <w:r w:rsidRPr="00163ABB">
        <w:rPr>
          <w:rFonts w:ascii="Times New Roman" w:hAnsi="Times New Roman" w:cs="Times New Roman"/>
        </w:rPr>
        <w:t>lo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à apreciação da SEB/MEC como condição para recebimento dos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recursos financeiros;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d) garantir que cada escola beneficiária disponha de um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professor do quadro permanente, com jornada de 40 (quarenta) horas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semanais e perfil adequado para exercer as funções de coordenador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local e articulador das ações de organização curricular propostas;</w:t>
      </w:r>
      <w:r w:rsidR="001C65B4">
        <w:rPr>
          <w:rFonts w:ascii="Times New Roman" w:hAnsi="Times New Roman" w:cs="Times New Roman"/>
        </w:rPr>
        <w:t xml:space="preserve"> 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e) estabelecer instrumentos de gerenciamento, em consonância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com as diretrizes previstas pela SEB/MEC, para acompanhamento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e avaliação da implantação do 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, que concorram para garantir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os impactos e avanços desejáveis;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f) garantir livre acesso às suas dependências a representantes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SEB/MEC, do FNDE, do Tribunal de Contas da União (TCU), do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Sistema de Controle Interno do Poder Executivo Federal e do Ministério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Público, prestando-lhes esclarecimentos e fornecendo-lhes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documentos requeridos, quando em missão de acompanhamento, fiscalização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auditoria; e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g) zelar para que as </w:t>
      </w:r>
      <w:proofErr w:type="spellStart"/>
      <w:r w:rsidRPr="00163ABB">
        <w:rPr>
          <w:rFonts w:ascii="Times New Roman" w:hAnsi="Times New Roman" w:cs="Times New Roman"/>
        </w:rPr>
        <w:t>UEx</w:t>
      </w:r>
      <w:proofErr w:type="spellEnd"/>
      <w:r w:rsidRPr="00163ABB">
        <w:rPr>
          <w:rFonts w:ascii="Times New Roman" w:hAnsi="Times New Roman" w:cs="Times New Roman"/>
        </w:rPr>
        <w:t xml:space="preserve"> e/ou, quando couber, as escolas por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elas representadas, cumpram as disposições do inciso seguinte.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 xml:space="preserve">III - à </w:t>
      </w:r>
      <w:proofErr w:type="spellStart"/>
      <w:r w:rsidRPr="00163ABB">
        <w:rPr>
          <w:rFonts w:ascii="Times New Roman" w:hAnsi="Times New Roman" w:cs="Times New Roman"/>
        </w:rPr>
        <w:t>UEx</w:t>
      </w:r>
      <w:proofErr w:type="spellEnd"/>
      <w:r w:rsidRPr="00163ABB">
        <w:rPr>
          <w:rFonts w:ascii="Times New Roman" w:hAnsi="Times New Roman" w:cs="Times New Roman"/>
        </w:rPr>
        <w:t xml:space="preserve"> e/ou, quando couber, à escola por ela representada: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a) inserir, na aba do Ensino Médio Inovador por meio do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PDE Interativo, disponível no sítio http://pdeinterativo.mec.gov.br, 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Projeto de Redesenho Curricular, em consonância com as orientações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das Secretarias de Educação, considerando as diretrizes do Programa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Ensino Médio Inovador (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);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b) disponibilizar informações e dados escolares que contribuam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para o registro institucional do 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, bem como para a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disseminação de experiências exitosas juntos às demais escolas e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sistemas educacionais;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c) participar de reuniões técnicas e eventos de formação,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promovidos pelas Secretarias de Educação dos Estados e do Distrito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Federal e pela SEB/MEC, que contribuam para a sustentabilidade do</w:t>
      </w:r>
      <w:r w:rsidR="001C65B4">
        <w:rPr>
          <w:rFonts w:ascii="Times New Roman" w:hAnsi="Times New Roman" w:cs="Times New Roman"/>
        </w:rPr>
        <w:t xml:space="preserve"> 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, bem como para ampliação e aperfeiçoamento da dimensão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pedagógica;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lastRenderedPageBreak/>
        <w:t>d) indicar um professor para a função de coordenador e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articulador das ações de organização curricular propostas, nos termos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previstos na alínea 'd' do inciso anterior;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e) proceder à execução e à prestação de contas dos recursos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 xml:space="preserve">de que trata o art. 1º às </w:t>
      </w:r>
      <w:proofErr w:type="spellStart"/>
      <w:r w:rsidRPr="00163ABB">
        <w:rPr>
          <w:rFonts w:ascii="Times New Roman" w:hAnsi="Times New Roman" w:cs="Times New Roman"/>
        </w:rPr>
        <w:t>EEx</w:t>
      </w:r>
      <w:proofErr w:type="spellEnd"/>
      <w:r w:rsidRPr="00163ABB">
        <w:rPr>
          <w:rFonts w:ascii="Times New Roman" w:hAnsi="Times New Roman" w:cs="Times New Roman"/>
        </w:rPr>
        <w:t>, nos moldes operacionais e regulamentares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PDDE;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f) zelar para que a prestação de contas referida na alínea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anterior contenha os lançamentos e seja acompanhada dos comprovantes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referentes à destinação dada aos recursos de que trata esta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Resolução e a outros que, eventualmente, tenham sido repassados,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nos moldes operacionais e regulamentares do PDDE, na mesma conta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bancária específica, fazendo constar no campo "Programa/Ação" dos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correspondentes formulários, a expressão "PDDE Qualidade";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g) fazer constar dos documentos probatórios das despesas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realizadas com os recursos de que trata esta Resolução (notas fiscais,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faturas, recibos) a expressão "Pagos com recursos do FNDE/PDDE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Qualidade/</w:t>
      </w:r>
      <w:proofErr w:type="spellStart"/>
      <w:r w:rsidRPr="00163ABB">
        <w:rPr>
          <w:rFonts w:ascii="Times New Roman" w:hAnsi="Times New Roman" w:cs="Times New Roman"/>
        </w:rPr>
        <w:t>ProEMI</w:t>
      </w:r>
      <w:proofErr w:type="spellEnd"/>
      <w:r w:rsidRPr="00163ABB">
        <w:rPr>
          <w:rFonts w:ascii="Times New Roman" w:hAnsi="Times New Roman" w:cs="Times New Roman"/>
        </w:rPr>
        <w:t>"; e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h) garantir livre acesso às suas dependências a representantes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da SEB/MEC, do FNDE, do Tribunal de Contas da União (TCU), do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Sistema de Controle Interno do Poder Executivo Federal e do Ministério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Público, prestando-lhes esclarecimentos e fornecendo-lhes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documentos requeridos, quando em missão de acompanhamento, fiscalização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e auditoria.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9º Ficam aprovados por esta Resolução os modelos do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Plano de Redesenho Curricular, disponível na aba do Ensino Médio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Inovador do PDE Interativo, do Plano de Atendimento Global Consolidado,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do Recibo de Ressarcimento Mensal e do Relatório Mensal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de Atividades Desenvolvidas por Monitor Voltadas ao Ensino Médio</w:t>
      </w:r>
      <w:r w:rsidR="001C65B4">
        <w:rPr>
          <w:rFonts w:ascii="Times New Roman" w:hAnsi="Times New Roman" w:cs="Times New Roman"/>
        </w:rPr>
        <w:t xml:space="preserve"> </w:t>
      </w:r>
      <w:r w:rsidRPr="00163ABB">
        <w:rPr>
          <w:rFonts w:ascii="Times New Roman" w:hAnsi="Times New Roman" w:cs="Times New Roman"/>
        </w:rPr>
        <w:t>Inovador, disponíveis no s</w:t>
      </w:r>
      <w:r w:rsidR="001C65B4">
        <w:rPr>
          <w:rFonts w:ascii="Times New Roman" w:hAnsi="Times New Roman" w:cs="Times New Roman"/>
        </w:rPr>
        <w:t>ite</w:t>
      </w:r>
      <w:r w:rsidRPr="00163ABB">
        <w:rPr>
          <w:rFonts w:ascii="Times New Roman" w:hAnsi="Times New Roman" w:cs="Times New Roman"/>
        </w:rPr>
        <w:t xml:space="preserve"> www.fnde.gov.br.</w:t>
      </w:r>
    </w:p>
    <w:p w:rsidR="00163ABB" w:rsidRPr="00163ABB" w:rsidRDefault="00163ABB" w:rsidP="00B177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63ABB">
        <w:rPr>
          <w:rFonts w:ascii="Times New Roman" w:hAnsi="Times New Roman" w:cs="Times New Roman"/>
        </w:rPr>
        <w:t>Art. 10 Esta resolução entra em vigor na data de sua publicação.</w:t>
      </w:r>
    </w:p>
    <w:p w:rsidR="00163ABB" w:rsidRPr="00B177EC" w:rsidRDefault="00163ABB" w:rsidP="00B177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77EC">
        <w:rPr>
          <w:rFonts w:ascii="Times New Roman" w:hAnsi="Times New Roman" w:cs="Times New Roman"/>
          <w:b/>
        </w:rPr>
        <w:t>JOSÉ HENRIQUE PAIM FERNANDES</w:t>
      </w:r>
    </w:p>
    <w:p w:rsidR="00163ABB" w:rsidRDefault="00163ABB" w:rsidP="0016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7EC" w:rsidRPr="00220200" w:rsidRDefault="00B177EC" w:rsidP="00B177E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20200">
        <w:rPr>
          <w:rFonts w:ascii="Times New Roman" w:hAnsi="Times New Roman" w:cs="Times New Roman"/>
          <w:b/>
          <w:i/>
        </w:rPr>
        <w:t>(Publicação no DOU n.º 140, de 23.07.2013, Seção 1, página 1</w:t>
      </w:r>
      <w:r>
        <w:rPr>
          <w:rFonts w:ascii="Times New Roman" w:hAnsi="Times New Roman" w:cs="Times New Roman"/>
          <w:b/>
          <w:i/>
        </w:rPr>
        <w:t>5/16</w:t>
      </w:r>
      <w:r w:rsidRPr="00220200">
        <w:rPr>
          <w:rFonts w:ascii="Times New Roman" w:hAnsi="Times New Roman" w:cs="Times New Roman"/>
          <w:b/>
          <w:i/>
        </w:rPr>
        <w:t>)</w:t>
      </w:r>
    </w:p>
    <w:p w:rsidR="00B177EC" w:rsidRPr="00163ABB" w:rsidRDefault="00B177EC" w:rsidP="00B177E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177EC" w:rsidRPr="00163ABB" w:rsidSect="00163ABB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5D" w:rsidRDefault="00C8795D" w:rsidP="00C8795D">
      <w:pPr>
        <w:spacing w:after="0" w:line="240" w:lineRule="auto"/>
      </w:pPr>
      <w:r>
        <w:separator/>
      </w:r>
    </w:p>
  </w:endnote>
  <w:endnote w:type="continuationSeparator" w:id="0">
    <w:p w:rsidR="00C8795D" w:rsidRDefault="00C8795D" w:rsidP="00C8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951813"/>
      <w:docPartObj>
        <w:docPartGallery w:val="Page Numbers (Bottom of Page)"/>
        <w:docPartUnique/>
      </w:docPartObj>
    </w:sdtPr>
    <w:sdtContent>
      <w:p w:rsidR="00C8795D" w:rsidRDefault="00C879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962">
          <w:rPr>
            <w:noProof/>
          </w:rPr>
          <w:t>26</w:t>
        </w:r>
        <w:r>
          <w:fldChar w:fldCharType="end"/>
        </w:r>
      </w:p>
    </w:sdtContent>
  </w:sdt>
  <w:p w:rsidR="00C8795D" w:rsidRDefault="00C87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5D" w:rsidRDefault="00C8795D" w:rsidP="00C8795D">
      <w:pPr>
        <w:spacing w:after="0" w:line="240" w:lineRule="auto"/>
      </w:pPr>
      <w:r>
        <w:separator/>
      </w:r>
    </w:p>
  </w:footnote>
  <w:footnote w:type="continuationSeparator" w:id="0">
    <w:p w:rsidR="00C8795D" w:rsidRDefault="00C8795D" w:rsidP="00C8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BB"/>
    <w:rsid w:val="00070FD6"/>
    <w:rsid w:val="00163ABB"/>
    <w:rsid w:val="001C65B4"/>
    <w:rsid w:val="001E2EFE"/>
    <w:rsid w:val="00220200"/>
    <w:rsid w:val="003607FD"/>
    <w:rsid w:val="007E0249"/>
    <w:rsid w:val="00853072"/>
    <w:rsid w:val="00906B24"/>
    <w:rsid w:val="009B5FDA"/>
    <w:rsid w:val="009F23E5"/>
    <w:rsid w:val="00AC415E"/>
    <w:rsid w:val="00B177EC"/>
    <w:rsid w:val="00B56770"/>
    <w:rsid w:val="00BC43CB"/>
    <w:rsid w:val="00BD0B30"/>
    <w:rsid w:val="00BD7C7C"/>
    <w:rsid w:val="00C20CD9"/>
    <w:rsid w:val="00C256BB"/>
    <w:rsid w:val="00C8795D"/>
    <w:rsid w:val="00CB1082"/>
    <w:rsid w:val="00D442FB"/>
    <w:rsid w:val="00DC27E4"/>
    <w:rsid w:val="00DC51CB"/>
    <w:rsid w:val="00E425A3"/>
    <w:rsid w:val="00E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95D"/>
  </w:style>
  <w:style w:type="paragraph" w:styleId="Rodap">
    <w:name w:val="footer"/>
    <w:basedOn w:val="Normal"/>
    <w:link w:val="RodapChar"/>
    <w:uiPriority w:val="99"/>
    <w:unhideWhenUsed/>
    <w:rsid w:val="00C8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95D"/>
  </w:style>
  <w:style w:type="table" w:styleId="Tabelacomgrade">
    <w:name w:val="Table Grid"/>
    <w:basedOn w:val="Tabelanormal"/>
    <w:uiPriority w:val="59"/>
    <w:rsid w:val="007E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95D"/>
  </w:style>
  <w:style w:type="paragraph" w:styleId="Rodap">
    <w:name w:val="footer"/>
    <w:basedOn w:val="Normal"/>
    <w:link w:val="RodapChar"/>
    <w:uiPriority w:val="99"/>
    <w:unhideWhenUsed/>
    <w:rsid w:val="00C8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95D"/>
  </w:style>
  <w:style w:type="table" w:styleId="Tabelacomgrade">
    <w:name w:val="Table Grid"/>
    <w:basedOn w:val="Tabelanormal"/>
    <w:uiPriority w:val="59"/>
    <w:rsid w:val="007E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3053-A008-4F87-9BD5-098CA09D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13856</Words>
  <Characters>74824</Characters>
  <Application>Microsoft Office Word</Application>
  <DocSecurity>0</DocSecurity>
  <Lines>623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22</cp:revision>
  <dcterms:created xsi:type="dcterms:W3CDTF">2013-07-23T10:00:00Z</dcterms:created>
  <dcterms:modified xsi:type="dcterms:W3CDTF">2013-07-23T11:14:00Z</dcterms:modified>
</cp:coreProperties>
</file>