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53" w:rsidRPr="00970111" w:rsidRDefault="00C44C53" w:rsidP="00C44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5EE">
        <w:rPr>
          <w:rFonts w:ascii="Times New Roman" w:hAnsi="Times New Roman" w:cs="Times New Roman"/>
          <w:b/>
        </w:rPr>
        <w:t>MINISTÉRIO DA EDUCAÇÃO</w:t>
      </w:r>
    </w:p>
    <w:p w:rsidR="00C44C53" w:rsidRDefault="00C44C53" w:rsidP="00C44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SECRETARIA DE REGULAÇÃO E</w:t>
      </w:r>
    </w:p>
    <w:p w:rsidR="00C44C53" w:rsidRDefault="00C44C53" w:rsidP="00C44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70111">
        <w:rPr>
          <w:rFonts w:ascii="Times New Roman" w:hAnsi="Times New Roman" w:cs="Times New Roman"/>
          <w:b/>
        </w:rPr>
        <w:t>SUPERVISÃO</w:t>
      </w:r>
      <w:r>
        <w:rPr>
          <w:rFonts w:ascii="Times New Roman" w:hAnsi="Times New Roman" w:cs="Times New Roman"/>
          <w:b/>
        </w:rPr>
        <w:t xml:space="preserve"> </w:t>
      </w:r>
      <w:r w:rsidRPr="00970111">
        <w:rPr>
          <w:rFonts w:ascii="Times New Roman" w:hAnsi="Times New Roman" w:cs="Times New Roman"/>
          <w:b/>
        </w:rPr>
        <w:t>DA EDUCAÇÃO SUPERIOR</w:t>
      </w:r>
    </w:p>
    <w:p w:rsidR="00C44C53" w:rsidRDefault="00C44C53" w:rsidP="00C44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INSTRUÇÃO NORMATIVA Nº 3,</w:t>
      </w:r>
      <w:r>
        <w:rPr>
          <w:rFonts w:ascii="Times New Roman" w:hAnsi="Times New Roman" w:cs="Times New Roman"/>
          <w:b/>
        </w:rPr>
        <w:t xml:space="preserve"> </w:t>
      </w:r>
      <w:r w:rsidRPr="00970111">
        <w:rPr>
          <w:rFonts w:ascii="Times New Roman" w:hAnsi="Times New Roman" w:cs="Times New Roman"/>
          <w:b/>
        </w:rPr>
        <w:t xml:space="preserve">DE 23 DE JANEIRO DE </w:t>
      </w:r>
      <w:proofErr w:type="gramStart"/>
      <w:r w:rsidRPr="00970111">
        <w:rPr>
          <w:rFonts w:ascii="Times New Roman" w:hAnsi="Times New Roman" w:cs="Times New Roman"/>
          <w:b/>
        </w:rPr>
        <w:t>2013</w:t>
      </w:r>
      <w:proofErr w:type="gramEnd"/>
    </w:p>
    <w:p w:rsidR="00C44C53" w:rsidRPr="00970111" w:rsidRDefault="00C44C53" w:rsidP="00C44C53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</w:rPr>
      </w:pPr>
    </w:p>
    <w:p w:rsidR="00C44C53" w:rsidRDefault="00C44C53" w:rsidP="00C44C53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Estabelece os procedimentos de aditamento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atos regulatórios para alteração no número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vagas de cursos superiores de graduação,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na modalidade presencial, ofertados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por instituições de ensino que não detém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prerrogativa de autonomia universitária.</w:t>
      </w:r>
    </w:p>
    <w:p w:rsidR="00C44C53" w:rsidRPr="002F65EE" w:rsidRDefault="00C44C53" w:rsidP="00C44C53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pelos incisos I e V, do art. 26, do Decreto n° 7.690, de </w:t>
      </w:r>
      <w:proofErr w:type="gramStart"/>
      <w:r w:rsidRPr="002F65EE">
        <w:rPr>
          <w:rFonts w:ascii="Times New Roman" w:hAnsi="Times New Roman" w:cs="Times New Roman"/>
        </w:rPr>
        <w:t>2</w:t>
      </w:r>
      <w:proofErr w:type="gramEnd"/>
      <w:r w:rsidRPr="002F65E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março de 2012, e tendo em vista o Decreto n° 5.773, de 9 de maio de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2006, e suas alterações, bem como o inciso I, do artigo 61, da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Portaria Normativa MEC n°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em 29 de dezembro de 2010, e com fundamento na Nota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Técnica CGFPR/DIREG/SERES/MEC n° 563, de 2012, e na Recomendação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CC - PARES n° 02, de 2012, de que trata o art. 5°, da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Portaria MEC n° 1006, de 10 de agosto de 2012, resolve: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1° Os pedidos de alteração de número de vagas autorizadas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cursos superiores de graduação, na modalidade presencial,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ofertados por instituições de educação superior - IES que não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detêm prerrogativa de autonomia universitária</w:t>
      </w:r>
      <w:proofErr w:type="gramStart"/>
      <w:r w:rsidRPr="002F65EE">
        <w:rPr>
          <w:rFonts w:ascii="Times New Roman" w:hAnsi="Times New Roman" w:cs="Times New Roman"/>
        </w:rPr>
        <w:t>, devem</w:t>
      </w:r>
      <w:proofErr w:type="gramEnd"/>
      <w:r w:rsidRPr="002F65EE">
        <w:rPr>
          <w:rFonts w:ascii="Times New Roman" w:hAnsi="Times New Roman" w:cs="Times New Roman"/>
        </w:rPr>
        <w:t xml:space="preserve"> tramitar como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pedido de aditamento ao ato de autorização, reconhecimento ou renovação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reconhecimento.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1° Os pedidos mencionados no caput serão processados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mediante análise documental, ressalvada a necessidade de avaliação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in loco apontada pela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Superior- SERES.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2° A alteração de vagas em cursos oferecidos por instituições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que detêm prerrogativa de autonomia universitária, devidamente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provado pelo órgão competente, compatível com a capacidade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institucional e com as normas da educação nacional e do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sistema de federal de ensino, nos termos do art. 53, IV, da Lei n°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9.394, de 20 de dezembro de 1996, não depende de aditamento,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devendo ser informada como atualização, na forma do artigo 56-A da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Portaria Normativa MEC n° 40, de 2007.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3° O remanejamento de vagas já autorizadas entre turnos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um mesmo curso presencial ou a criação de turno, nas mesmas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condições, dispensa o aditamento do ato autorizativo, devendo ser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processados na forma do artigo 56-A, §1°, da Portaria Normativa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MEC n° 40, de 2007.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§ 4° A critério </w:t>
      </w:r>
      <w:proofErr w:type="gramStart"/>
      <w:r w:rsidRPr="002F65EE">
        <w:rPr>
          <w:rFonts w:ascii="Times New Roman" w:hAnsi="Times New Roman" w:cs="Times New Roman"/>
        </w:rPr>
        <w:t>da SERES</w:t>
      </w:r>
      <w:proofErr w:type="gramEnd"/>
      <w:r w:rsidRPr="002F65EE">
        <w:rPr>
          <w:rFonts w:ascii="Times New Roman" w:hAnsi="Times New Roman" w:cs="Times New Roman"/>
        </w:rPr>
        <w:t>, até a implantação de funcionalidade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no sistema </w:t>
      </w:r>
      <w:proofErr w:type="spellStart"/>
      <w:r w:rsidRPr="002F65EE">
        <w:rPr>
          <w:rFonts w:ascii="Times New Roman" w:hAnsi="Times New Roman" w:cs="Times New Roman"/>
        </w:rPr>
        <w:t>e-MEC</w:t>
      </w:r>
      <w:proofErr w:type="spellEnd"/>
      <w:r w:rsidRPr="002F65EE">
        <w:rPr>
          <w:rFonts w:ascii="Times New Roman" w:hAnsi="Times New Roman" w:cs="Times New Roman"/>
        </w:rPr>
        <w:t>, os pedidos de alteração de número de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vagas autorizadas de cursos superiores de graduação, na modalidade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presencial, ofertados por IES que não detêm prerrogativa de autonomia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universitária, bem como os mencionados no art. 28, § 2°, do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Decreto n° 5.773, de 9 de maio de 2006, devem ser protocolados, por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meio de ofício, junto àquela Secretaria.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2° O pedido de aumento de vagas deve observar os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seguintes requisitos, cumulativamente: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 - curso reconhecido;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II - Conceito Institucional (CI) ou Índice Geral de Cursos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(IGC) satisfatório (maior ou igual a </w:t>
      </w:r>
      <w:proofErr w:type="gramStart"/>
      <w:r w:rsidRPr="002F65EE">
        <w:rPr>
          <w:rFonts w:ascii="Times New Roman" w:hAnsi="Times New Roman" w:cs="Times New Roman"/>
        </w:rPr>
        <w:t>3</w:t>
      </w:r>
      <w:proofErr w:type="gramEnd"/>
      <w:r w:rsidRPr="002F65EE">
        <w:rPr>
          <w:rFonts w:ascii="Times New Roman" w:hAnsi="Times New Roman" w:cs="Times New Roman"/>
        </w:rPr>
        <w:t>) no último ciclo avaliativo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F65EE">
        <w:rPr>
          <w:rFonts w:ascii="Times New Roman" w:hAnsi="Times New Roman" w:cs="Times New Roman"/>
        </w:rPr>
        <w:t>Sinaes</w:t>
      </w:r>
      <w:proofErr w:type="spellEnd"/>
      <w:r w:rsidRPr="002F65EE">
        <w:rPr>
          <w:rFonts w:ascii="Times New Roman" w:hAnsi="Times New Roman" w:cs="Times New Roman"/>
        </w:rPr>
        <w:t>;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III - Conceito de Curso (CC) ou Conceito Preliminar de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Curso (CPC) satisfatório (maior ou igual a </w:t>
      </w:r>
      <w:proofErr w:type="gramStart"/>
      <w:r w:rsidRPr="002F65EE">
        <w:rPr>
          <w:rFonts w:ascii="Times New Roman" w:hAnsi="Times New Roman" w:cs="Times New Roman"/>
        </w:rPr>
        <w:t>3</w:t>
      </w:r>
      <w:proofErr w:type="gramEnd"/>
      <w:r w:rsidRPr="002F65EE">
        <w:rPr>
          <w:rFonts w:ascii="Times New Roman" w:hAnsi="Times New Roman" w:cs="Times New Roman"/>
        </w:rPr>
        <w:t>) no último ciclo avaliativo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do </w:t>
      </w:r>
      <w:proofErr w:type="spellStart"/>
      <w:r w:rsidRPr="002F65EE">
        <w:rPr>
          <w:rFonts w:ascii="Times New Roman" w:hAnsi="Times New Roman" w:cs="Times New Roman"/>
        </w:rPr>
        <w:t>Sinaes</w:t>
      </w:r>
      <w:proofErr w:type="spellEnd"/>
      <w:r w:rsidRPr="002F65EE">
        <w:rPr>
          <w:rFonts w:ascii="Times New Roman" w:hAnsi="Times New Roman" w:cs="Times New Roman"/>
        </w:rPr>
        <w:t>;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IV - apresentar na dimensão infraestrutura da ultima avaliação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in loco do curso conceito maior ou igual a </w:t>
      </w:r>
      <w:proofErr w:type="gramStart"/>
      <w:r w:rsidRPr="002F65EE">
        <w:rPr>
          <w:rFonts w:ascii="Times New Roman" w:hAnsi="Times New Roman" w:cs="Times New Roman"/>
        </w:rPr>
        <w:t>3</w:t>
      </w:r>
      <w:proofErr w:type="gramEnd"/>
      <w:r w:rsidRPr="002F65EE">
        <w:rPr>
          <w:rFonts w:ascii="Times New Roman" w:hAnsi="Times New Roman" w:cs="Times New Roman"/>
        </w:rPr>
        <w:t xml:space="preserve"> (três);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V - não ter o curso sofrido penalidade nos últimos </w:t>
      </w:r>
      <w:proofErr w:type="gramStart"/>
      <w:r w:rsidRPr="002F65EE">
        <w:rPr>
          <w:rFonts w:ascii="Times New Roman" w:hAnsi="Times New Roman" w:cs="Times New Roman"/>
        </w:rPr>
        <w:t>2</w:t>
      </w:r>
      <w:proofErr w:type="gramEnd"/>
      <w:r w:rsidRPr="002F65EE">
        <w:rPr>
          <w:rFonts w:ascii="Times New Roman" w:hAnsi="Times New Roman" w:cs="Times New Roman"/>
        </w:rPr>
        <w:t xml:space="preserve"> (dois)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anos;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VI - curso não ser objeto de processo administrativo para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aplicação de penalidade;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 xml:space="preserve">VII - não exceder o percentual de cem por cento na faixa </w:t>
      </w:r>
      <w:proofErr w:type="gramStart"/>
      <w:r w:rsidRPr="002F65EE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descrita no art. 1° do Anexo I desta Instrução Normativa;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lastRenderedPageBreak/>
        <w:t>VIII - não exceder o percentual de cento e vinte cento na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faixa </w:t>
      </w:r>
      <w:proofErr w:type="gramStart"/>
      <w:r w:rsidRPr="002F65EE">
        <w:rPr>
          <w:rFonts w:ascii="Times New Roman" w:hAnsi="Times New Roman" w:cs="Times New Roman"/>
        </w:rPr>
        <w:t>2</w:t>
      </w:r>
      <w:proofErr w:type="gramEnd"/>
      <w:r w:rsidRPr="002F65EE">
        <w:rPr>
          <w:rFonts w:ascii="Times New Roman" w:hAnsi="Times New Roman" w:cs="Times New Roman"/>
        </w:rPr>
        <w:t xml:space="preserve"> descrita no art. 1° do Anexo I desta Instrução Normativa; e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IX - não exceder o percentual de cento e cinquenta por cento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na faixa </w:t>
      </w:r>
      <w:proofErr w:type="gramStart"/>
      <w:r w:rsidRPr="002F65EE">
        <w:rPr>
          <w:rFonts w:ascii="Times New Roman" w:hAnsi="Times New Roman" w:cs="Times New Roman"/>
        </w:rPr>
        <w:t>3</w:t>
      </w:r>
      <w:proofErr w:type="gramEnd"/>
      <w:r w:rsidRPr="002F65EE">
        <w:rPr>
          <w:rFonts w:ascii="Times New Roman" w:hAnsi="Times New Roman" w:cs="Times New Roman"/>
        </w:rPr>
        <w:t xml:space="preserve"> descrita no art. 1° do Anexo I desta Instrução Normativa.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3° O pedido de aumento de vagas deverá ser instruído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com as seguintes informações: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 - a quantidade de vagas pleiteada e justificativa que contemple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a demanda social; </w:t>
      </w:r>
      <w:proofErr w:type="gramStart"/>
      <w:r w:rsidRPr="002F65EE">
        <w:rPr>
          <w:rFonts w:ascii="Times New Roman" w:hAnsi="Times New Roman" w:cs="Times New Roman"/>
        </w:rPr>
        <w:t>e</w:t>
      </w:r>
      <w:proofErr w:type="gramEnd"/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II - evidências de que as instalações físicas comportam, sem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comprometimento da qualidade de oferta, a quantidade total de vagas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pleiteada. Parágrafo único. A demanda social poderá ser demonstrada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pelo número de inscritos no último processo seletivo em relação ao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quantitativo de vagas ofertado ou pela taxa de ocupação do curso nos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últimos dois anos, conforme dados do censo da educação superior.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4° O pedido de redução de vagas deverá ser instruído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com a quantidade de vagas pleiteada e a respectiva justificativa.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5° Após o protocolo, o processo será submetido à análise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técnica da Diretoria de Regulação da Educação Superior da Secretaria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de Regulação e Supervisão da Educação Superior </w:t>
      </w:r>
      <w:r>
        <w:rPr>
          <w:rFonts w:ascii="Times New Roman" w:hAnsi="Times New Roman" w:cs="Times New Roman"/>
        </w:rPr>
        <w:t>–</w:t>
      </w:r>
      <w:r w:rsidRPr="002F65EE">
        <w:rPr>
          <w:rFonts w:ascii="Times New Roman" w:hAnsi="Times New Roman" w:cs="Times New Roman"/>
        </w:rPr>
        <w:t xml:space="preserve"> DIREG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SERES.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1° Caso os documentos sejam omissos ou insuficientes à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apreciação conclusiva, a DIREG/SERES poderá instaurar diligência.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2° A diligência deverá ser atendida no prazo de 15 (quinze)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dias, contados da data de devolução pelos Correios, ao protocolo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desta Secretaria, do Aviso de Recebimento - AR, </w:t>
      </w:r>
      <w:proofErr w:type="gramStart"/>
      <w:r w:rsidRPr="002F65EE">
        <w:rPr>
          <w:rFonts w:ascii="Times New Roman" w:hAnsi="Times New Roman" w:cs="Times New Roman"/>
        </w:rPr>
        <w:t>sob pena</w:t>
      </w:r>
      <w:proofErr w:type="gramEnd"/>
      <w:r w:rsidRPr="002F65EE">
        <w:rPr>
          <w:rFonts w:ascii="Times New Roman" w:hAnsi="Times New Roman" w:cs="Times New Roman"/>
        </w:rPr>
        <w:t xml:space="preserve"> de arquivamento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 processo.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6° A análise do pedido de aumento de vagas seguirá os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critérios apresentados no Anexo I.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7° Os requisitos e os critérios de análise de pedido de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aumento de vagas poderão ser excepcionados nas seguintes situações: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 - microrregiões com baixa cobertura de oferta de educação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 xml:space="preserve">superior; </w:t>
      </w:r>
      <w:proofErr w:type="gramStart"/>
      <w:r w:rsidRPr="002F65EE">
        <w:rPr>
          <w:rFonts w:ascii="Times New Roman" w:hAnsi="Times New Roman" w:cs="Times New Roman"/>
        </w:rPr>
        <w:t>e</w:t>
      </w:r>
      <w:proofErr w:type="gramEnd"/>
    </w:p>
    <w:p w:rsidR="00C44C53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II - cursos considerados estratégicos pelas políticas públicas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 País para a expansão da oferta de educação superior;</w:t>
      </w:r>
      <w:r>
        <w:rPr>
          <w:rFonts w:ascii="Times New Roman" w:hAnsi="Times New Roman" w:cs="Times New Roman"/>
        </w:rPr>
        <w:t xml:space="preserve"> 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Parágrafo único. Entende-se microrregião com baixa cobertura,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aquela definida pelo Instituto Brasileiro de Geografia e Estatística-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IBGE que apresente taxa bruta de matrícula na educação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superior ou taxa líquida inferior à média nacional, conforme dados do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último Censo da Educação Superior.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8° O titular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Educação Superior decidirá pelo deferimento ou pelo indeferimento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 pleito, mediante publicação de portaria no Diário Oficial da União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e, consequente, alteração cadastral.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9° O processo de alteração de vagas poderá ser analisado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conjuntamente com um processo de renovação de ato autorizativo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curso, sendo exarada uma única decisão final.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10. O deferimento do pedido de aumento de vagas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implica a vedação da aplicação de regras de desoneração de visita 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 obrigatoriedade de visita in loco, pelo Instituto Nacional de Estudos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 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do(s) próximo(s) ato(s) regulatório(s) do(s) curso(s).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11. As IES que tiveram redução de vagas decorrentes de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penalidade definitiva em processo administrativo poderão solicitar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novo aumento de vagas observando as disposições e procedimentos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desta Instrução Normativa, em especial, o prazo de que trata o artigo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2°, inciso V.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12. Esta Instrução Normativa não se aplica aos pedidos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de alteração de vagas dos cursos previstos no art. 28, § 2°, do Decreto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nº 5.773, de 2006, ofertados por quaisquer IES do sistema federal de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ensino.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Art. 13. Esta Instrução Normativa entra em vigor na data de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sua publicação.</w:t>
      </w:r>
    </w:p>
    <w:p w:rsidR="00C44C53" w:rsidRPr="00970111" w:rsidRDefault="00C44C53" w:rsidP="00C44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JORGE RODRIGO ARAÚJO MESSIAS</w:t>
      </w:r>
    </w:p>
    <w:p w:rsidR="00C44C53" w:rsidRPr="00970111" w:rsidRDefault="00C44C53" w:rsidP="00C44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C53" w:rsidRDefault="00C44C53" w:rsidP="00C44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111">
        <w:rPr>
          <w:rFonts w:ascii="Times New Roman" w:hAnsi="Times New Roman" w:cs="Times New Roman"/>
          <w:b/>
        </w:rPr>
        <w:t>ANEXO</w:t>
      </w:r>
    </w:p>
    <w:p w:rsidR="00C44C53" w:rsidRPr="00970111" w:rsidRDefault="00C44C53" w:rsidP="00C44C53">
      <w:pPr>
        <w:spacing w:after="0" w:line="240" w:lineRule="auto"/>
        <w:rPr>
          <w:rFonts w:ascii="Times New Roman" w:hAnsi="Times New Roman" w:cs="Times New Roman"/>
          <w:b/>
        </w:rPr>
      </w:pP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1° A análise do pedido de aumento de vagas observará os seguintes critérios: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2183"/>
        <w:gridCol w:w="2723"/>
        <w:gridCol w:w="2544"/>
      </w:tblGrid>
      <w:tr w:rsidR="00C44C53" w:rsidTr="00EF1F5F">
        <w:trPr>
          <w:trHeight w:val="150"/>
        </w:trPr>
        <w:tc>
          <w:tcPr>
            <w:tcW w:w="1320" w:type="dxa"/>
            <w:vMerge w:val="restart"/>
          </w:tcPr>
          <w:p w:rsidR="00C44C53" w:rsidRPr="00BC0869" w:rsidRDefault="00C44C53" w:rsidP="00EF1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69">
              <w:rPr>
                <w:rFonts w:ascii="Times New Roman" w:hAnsi="Times New Roman" w:cs="Times New Roman"/>
                <w:b/>
              </w:rPr>
              <w:t>Faixa</w:t>
            </w:r>
          </w:p>
        </w:tc>
        <w:tc>
          <w:tcPr>
            <w:tcW w:w="5175" w:type="dxa"/>
            <w:gridSpan w:val="2"/>
          </w:tcPr>
          <w:p w:rsidR="00C44C53" w:rsidRPr="00BC0869" w:rsidRDefault="00C44C53" w:rsidP="00EF1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69">
              <w:rPr>
                <w:rFonts w:ascii="Times New Roman" w:hAnsi="Times New Roman" w:cs="Times New Roman"/>
                <w:b/>
              </w:rPr>
              <w:t>Parâmetros</w:t>
            </w:r>
          </w:p>
        </w:tc>
        <w:tc>
          <w:tcPr>
            <w:tcW w:w="2715" w:type="dxa"/>
          </w:tcPr>
          <w:p w:rsidR="00C44C53" w:rsidRPr="00BC0869" w:rsidRDefault="00C44C53" w:rsidP="00EF1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69">
              <w:rPr>
                <w:rFonts w:ascii="Times New Roman" w:hAnsi="Times New Roman" w:cs="Times New Roman"/>
                <w:b/>
              </w:rPr>
              <w:t>Teto de vagas</w:t>
            </w:r>
          </w:p>
        </w:tc>
      </w:tr>
      <w:tr w:rsidR="00C44C53" w:rsidTr="00EF1F5F">
        <w:trPr>
          <w:trHeight w:val="105"/>
        </w:trPr>
        <w:tc>
          <w:tcPr>
            <w:tcW w:w="1320" w:type="dxa"/>
            <w:vMerge/>
          </w:tcPr>
          <w:p w:rsidR="00C44C53" w:rsidRDefault="00C44C53" w:rsidP="00EF1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C44C53" w:rsidRDefault="00C44C53" w:rsidP="00EF1F5F">
            <w:pPr>
              <w:jc w:val="center"/>
              <w:rPr>
                <w:rFonts w:ascii="Times New Roman" w:hAnsi="Times New Roman" w:cs="Times New Roman"/>
              </w:rPr>
            </w:pPr>
            <w:r w:rsidRPr="00BC0869">
              <w:rPr>
                <w:rFonts w:ascii="Times New Roman" w:hAnsi="Times New Roman" w:cs="Times New Roman"/>
              </w:rPr>
              <w:t>Institucional</w:t>
            </w:r>
          </w:p>
        </w:tc>
        <w:tc>
          <w:tcPr>
            <w:tcW w:w="2910" w:type="dxa"/>
          </w:tcPr>
          <w:p w:rsidR="00C44C53" w:rsidRDefault="00C44C53" w:rsidP="00EF1F5F">
            <w:pPr>
              <w:jc w:val="center"/>
              <w:rPr>
                <w:rFonts w:ascii="Times New Roman" w:hAnsi="Times New Roman" w:cs="Times New Roman"/>
              </w:rPr>
            </w:pPr>
            <w:r w:rsidRPr="00BC0869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2715" w:type="dxa"/>
          </w:tcPr>
          <w:p w:rsidR="00C44C53" w:rsidRDefault="00C44C53" w:rsidP="00EF1F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4C53" w:rsidTr="00EF1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20" w:type="dxa"/>
          </w:tcPr>
          <w:p w:rsidR="00C44C53" w:rsidRDefault="00C44C53" w:rsidP="00EF1F5F">
            <w:pPr>
              <w:ind w:left="108"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5" w:type="dxa"/>
          </w:tcPr>
          <w:p w:rsidR="00C44C53" w:rsidRDefault="00C44C53" w:rsidP="00EF1F5F">
            <w:pPr>
              <w:ind w:left="108" w:firstLine="1843"/>
              <w:jc w:val="both"/>
              <w:rPr>
                <w:rFonts w:ascii="Times New Roman" w:hAnsi="Times New Roman" w:cs="Times New Roman"/>
              </w:rPr>
            </w:pPr>
            <w:r w:rsidRPr="00BC0869">
              <w:rPr>
                <w:rFonts w:ascii="Times New Roman" w:hAnsi="Times New Roman" w:cs="Times New Roman"/>
              </w:rPr>
              <w:t>IGC ou CI =3</w:t>
            </w:r>
          </w:p>
        </w:tc>
        <w:tc>
          <w:tcPr>
            <w:tcW w:w="2910" w:type="dxa"/>
          </w:tcPr>
          <w:p w:rsidR="00C44C53" w:rsidRDefault="00C44C53" w:rsidP="00EF1F5F">
            <w:pPr>
              <w:ind w:left="108" w:firstLine="173"/>
              <w:jc w:val="both"/>
              <w:rPr>
                <w:rFonts w:ascii="Times New Roman" w:hAnsi="Times New Roman" w:cs="Times New Roman"/>
              </w:rPr>
            </w:pPr>
            <w:r w:rsidRPr="00BC0869">
              <w:rPr>
                <w:rFonts w:ascii="Times New Roman" w:hAnsi="Times New Roman" w:cs="Times New Roman"/>
              </w:rPr>
              <w:t>CPC ou CC = 3</w:t>
            </w:r>
          </w:p>
        </w:tc>
        <w:tc>
          <w:tcPr>
            <w:tcW w:w="2715" w:type="dxa"/>
          </w:tcPr>
          <w:p w:rsidR="00C44C53" w:rsidRDefault="00C44C53" w:rsidP="00EF1F5F">
            <w:pPr>
              <w:ind w:left="108"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C44C53" w:rsidTr="00EF1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320" w:type="dxa"/>
          </w:tcPr>
          <w:p w:rsidR="00C44C53" w:rsidRDefault="00C44C53" w:rsidP="00EF1F5F">
            <w:pPr>
              <w:ind w:left="108"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5" w:type="dxa"/>
          </w:tcPr>
          <w:p w:rsidR="00C44C53" w:rsidRDefault="00C44C53" w:rsidP="00EF1F5F">
            <w:pPr>
              <w:ind w:left="108" w:firstLine="1843"/>
              <w:jc w:val="both"/>
              <w:rPr>
                <w:rFonts w:ascii="Times New Roman" w:hAnsi="Times New Roman" w:cs="Times New Roman"/>
              </w:rPr>
            </w:pPr>
            <w:r w:rsidRPr="00BC0869">
              <w:rPr>
                <w:rFonts w:ascii="Times New Roman" w:hAnsi="Times New Roman" w:cs="Times New Roman"/>
              </w:rPr>
              <w:t>IGC ou CI = 4</w:t>
            </w:r>
          </w:p>
        </w:tc>
        <w:tc>
          <w:tcPr>
            <w:tcW w:w="2910" w:type="dxa"/>
          </w:tcPr>
          <w:p w:rsidR="00C44C53" w:rsidRDefault="00C44C53" w:rsidP="00EF1F5F">
            <w:pPr>
              <w:ind w:left="108" w:firstLine="173"/>
              <w:jc w:val="both"/>
              <w:rPr>
                <w:rFonts w:ascii="Times New Roman" w:hAnsi="Times New Roman" w:cs="Times New Roman"/>
              </w:rPr>
            </w:pPr>
            <w:r w:rsidRPr="00341D52">
              <w:rPr>
                <w:rFonts w:ascii="Times New Roman" w:hAnsi="Times New Roman" w:cs="Times New Roman"/>
              </w:rPr>
              <w:t>CPC ou CC = 4</w:t>
            </w:r>
          </w:p>
        </w:tc>
        <w:tc>
          <w:tcPr>
            <w:tcW w:w="2715" w:type="dxa"/>
          </w:tcPr>
          <w:p w:rsidR="00C44C53" w:rsidRDefault="00C44C53" w:rsidP="00EF1F5F">
            <w:pPr>
              <w:ind w:left="108"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C44C53" w:rsidTr="00EF1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320" w:type="dxa"/>
          </w:tcPr>
          <w:p w:rsidR="00C44C53" w:rsidRDefault="00C44C53" w:rsidP="00EF1F5F">
            <w:pPr>
              <w:ind w:left="108"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5" w:type="dxa"/>
          </w:tcPr>
          <w:p w:rsidR="00C44C53" w:rsidRDefault="00C44C53" w:rsidP="00EF1F5F">
            <w:pPr>
              <w:ind w:left="108" w:firstLine="1843"/>
              <w:jc w:val="both"/>
              <w:rPr>
                <w:rFonts w:ascii="Times New Roman" w:hAnsi="Times New Roman" w:cs="Times New Roman"/>
              </w:rPr>
            </w:pPr>
            <w:r w:rsidRPr="00BC0869">
              <w:rPr>
                <w:rFonts w:ascii="Times New Roman" w:hAnsi="Times New Roman" w:cs="Times New Roman"/>
              </w:rPr>
              <w:t>IGC ou CI =5</w:t>
            </w:r>
          </w:p>
        </w:tc>
        <w:tc>
          <w:tcPr>
            <w:tcW w:w="2910" w:type="dxa"/>
          </w:tcPr>
          <w:p w:rsidR="00C44C53" w:rsidRDefault="00C44C53" w:rsidP="00EF1F5F">
            <w:pPr>
              <w:ind w:left="108" w:firstLine="173"/>
              <w:jc w:val="both"/>
              <w:rPr>
                <w:rFonts w:ascii="Times New Roman" w:hAnsi="Times New Roman" w:cs="Times New Roman"/>
              </w:rPr>
            </w:pPr>
            <w:r w:rsidRPr="00341D52">
              <w:rPr>
                <w:rFonts w:ascii="Times New Roman" w:hAnsi="Times New Roman" w:cs="Times New Roman"/>
              </w:rPr>
              <w:t>CPC ou CC = 5</w:t>
            </w:r>
          </w:p>
        </w:tc>
        <w:tc>
          <w:tcPr>
            <w:tcW w:w="2715" w:type="dxa"/>
          </w:tcPr>
          <w:p w:rsidR="00C44C53" w:rsidRDefault="00C44C53" w:rsidP="00EF1F5F">
            <w:pPr>
              <w:ind w:left="108"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</w:tbl>
    <w:p w:rsidR="00C44C53" w:rsidRDefault="00C44C53" w:rsidP="00C44C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1° Para fins de enquadramento em cada faixa da tabela do art. 1º, o valor do parâmetro institucional será o maior resultado entre o IGC e o CI, e o valor do parâmetro de curso será o maior resultado entre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o CPC e o CC.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2° O enquadramento nas faixas previstas na tabela do art. 1° exige a apresentação cumulativa dos parâmetros institucional e de curso.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§ 3° Nos casos de cursos cujo quantitativo de vagas seja inferior a 25% (vinte e cinco por cento) dos tetos definidos nas faixas 1, 2 e 3, da tabela do artigo 1º, poderá ser autorizado o aumento de vagas além</w:t>
      </w:r>
      <w:r>
        <w:rPr>
          <w:rFonts w:ascii="Times New Roman" w:hAnsi="Times New Roman" w:cs="Times New Roman"/>
        </w:rPr>
        <w:t xml:space="preserve"> </w:t>
      </w:r>
      <w:r w:rsidRPr="002F65EE">
        <w:rPr>
          <w:rFonts w:ascii="Times New Roman" w:hAnsi="Times New Roman" w:cs="Times New Roman"/>
        </w:rPr>
        <w:t>do percentual limite correspondente, desde que não ultrapasse o teto previsto.</w:t>
      </w:r>
    </w:p>
    <w:p w:rsidR="00C44C53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F65EE">
        <w:rPr>
          <w:rFonts w:ascii="Times New Roman" w:hAnsi="Times New Roman" w:cs="Times New Roman"/>
        </w:rPr>
        <w:t>Art. 2° Na análise do pedido de aumento de vagas serão considerados também as penalidades aplicadas à IES e os processos de supervisão em andamento.</w:t>
      </w:r>
    </w:p>
    <w:p w:rsidR="00C44C53" w:rsidRPr="002F65EE" w:rsidRDefault="00C44C53" w:rsidP="00C44C5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C44C53" w:rsidRPr="00AF6CD9" w:rsidRDefault="00C44C53" w:rsidP="00C44C5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n.º17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96/97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sectPr w:rsidR="00C44C53" w:rsidRPr="00AF6CD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DB" w:rsidRDefault="004442DB" w:rsidP="004442DB">
      <w:pPr>
        <w:spacing w:after="0" w:line="240" w:lineRule="auto"/>
      </w:pPr>
      <w:r>
        <w:separator/>
      </w:r>
    </w:p>
  </w:endnote>
  <w:endnote w:type="continuationSeparator" w:id="0">
    <w:p w:rsidR="004442DB" w:rsidRDefault="004442DB" w:rsidP="0044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054835"/>
      <w:docPartObj>
        <w:docPartGallery w:val="Page Numbers (Bottom of Page)"/>
        <w:docPartUnique/>
      </w:docPartObj>
    </w:sdtPr>
    <w:sdtContent>
      <w:p w:rsidR="004442DB" w:rsidRDefault="004442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442DB" w:rsidRDefault="004442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DB" w:rsidRDefault="004442DB" w:rsidP="004442DB">
      <w:pPr>
        <w:spacing w:after="0" w:line="240" w:lineRule="auto"/>
      </w:pPr>
      <w:r>
        <w:separator/>
      </w:r>
    </w:p>
  </w:footnote>
  <w:footnote w:type="continuationSeparator" w:id="0">
    <w:p w:rsidR="004442DB" w:rsidRDefault="004442DB" w:rsidP="0044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53"/>
    <w:rsid w:val="003607FD"/>
    <w:rsid w:val="004442DB"/>
    <w:rsid w:val="00C44C53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2DB"/>
  </w:style>
  <w:style w:type="paragraph" w:styleId="Rodap">
    <w:name w:val="footer"/>
    <w:basedOn w:val="Normal"/>
    <w:link w:val="RodapChar"/>
    <w:uiPriority w:val="99"/>
    <w:unhideWhenUsed/>
    <w:rsid w:val="0044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2DB"/>
  </w:style>
  <w:style w:type="paragraph" w:styleId="Rodap">
    <w:name w:val="footer"/>
    <w:basedOn w:val="Normal"/>
    <w:link w:val="RodapChar"/>
    <w:uiPriority w:val="99"/>
    <w:unhideWhenUsed/>
    <w:rsid w:val="0044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1264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2013-01-24T17:17:00Z</dcterms:created>
  <dcterms:modified xsi:type="dcterms:W3CDTF">2013-01-24T17:31:00Z</dcterms:modified>
</cp:coreProperties>
</file>