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E" w:rsidRPr="002F65EE" w:rsidRDefault="002F65EE" w:rsidP="002F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t>MINISTÉRIO DA EDUCAÇÃO</w:t>
      </w:r>
    </w:p>
    <w:p w:rsidR="00845719" w:rsidRPr="002F65EE" w:rsidRDefault="00845719" w:rsidP="002F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t>GABINETE DO MINISTRO</w:t>
      </w:r>
    </w:p>
    <w:p w:rsidR="00845719" w:rsidRPr="002F65EE" w:rsidRDefault="00845719" w:rsidP="002F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t>DESPACHO DO MINISTRO</w:t>
      </w:r>
    </w:p>
    <w:p w:rsidR="00845719" w:rsidRPr="002F65EE" w:rsidRDefault="00845719" w:rsidP="002F65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Em 23 de janeiro de 2013</w:t>
      </w:r>
    </w:p>
    <w:p w:rsidR="002F65EE" w:rsidRDefault="00845719" w:rsidP="00F7240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Nos termos do art. 2o da Lei no 9.131, de 24 de novembro de 1995, o Ministro de Estado da Educação HOMOLOGA o Parecer no</w:t>
      </w:r>
      <w:r w:rsidR="002F65EE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140/2011, da Câmara de Educação Superior, do Conselho Nacional de Educação, favorável à convalidação dos estudos e à validação nacional</w:t>
      </w:r>
      <w:r w:rsidR="002F65EE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do título obtido pelas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 xml:space="preserve"> (três) alunas relacionadas no quadro abaixo, ingressantes entre 1999 e 2000, após terem concluído com êxito o Mestrado</w:t>
      </w:r>
      <w:r w:rsidR="002F65EE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Profissionalizante em Educação, ministrado pelas Faculdades Integradas Hebraico-Brasileiras Renascença, atual Faculdade Renascença, com</w:t>
      </w:r>
      <w:r w:rsidR="002F65EE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sede no Município de São Paulo, Estado de São Paulo, conforme consta do Processo no 23001.000029/ 2011- 48.</w:t>
      </w:r>
    </w:p>
    <w:p w:rsidR="002F65EE" w:rsidRDefault="002F65E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2F65EE" w:rsidTr="002F65EE">
        <w:tc>
          <w:tcPr>
            <w:tcW w:w="4786" w:type="dxa"/>
          </w:tcPr>
          <w:p w:rsidR="002F65EE" w:rsidRPr="002F65EE" w:rsidRDefault="002F65EE" w:rsidP="002F65E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2F65E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111" w:type="dxa"/>
          </w:tcPr>
          <w:p w:rsidR="002F65EE" w:rsidRPr="002F65EE" w:rsidRDefault="002F65EE" w:rsidP="002F65EE">
            <w:pPr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2F65EE">
              <w:rPr>
                <w:rFonts w:ascii="Times New Roman" w:hAnsi="Times New Roman" w:cs="Times New Roman"/>
                <w:b/>
              </w:rPr>
              <w:t>Registro Geral</w:t>
            </w:r>
          </w:p>
        </w:tc>
      </w:tr>
      <w:tr w:rsidR="002F65EE" w:rsidTr="002F65EE">
        <w:tc>
          <w:tcPr>
            <w:tcW w:w="4786" w:type="dxa"/>
          </w:tcPr>
          <w:p w:rsidR="002F65EE" w:rsidRDefault="002F65EE" w:rsidP="002F65EE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 xml:space="preserve">Clara </w:t>
            </w:r>
            <w:proofErr w:type="spellStart"/>
            <w:r w:rsidRPr="002F65EE">
              <w:rPr>
                <w:rFonts w:ascii="Times New Roman" w:hAnsi="Times New Roman" w:cs="Times New Roman"/>
              </w:rPr>
              <w:t>Sihel</w:t>
            </w:r>
            <w:proofErr w:type="spellEnd"/>
          </w:p>
        </w:tc>
        <w:tc>
          <w:tcPr>
            <w:tcW w:w="4111" w:type="dxa"/>
          </w:tcPr>
          <w:p w:rsidR="002F65EE" w:rsidRDefault="002F65EE" w:rsidP="002F65EE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14.895.376-1 SSP/SP</w:t>
            </w:r>
          </w:p>
        </w:tc>
      </w:tr>
      <w:tr w:rsidR="002F65EE" w:rsidTr="002F65EE">
        <w:tc>
          <w:tcPr>
            <w:tcW w:w="4786" w:type="dxa"/>
          </w:tcPr>
          <w:p w:rsidR="002F65EE" w:rsidRDefault="002F65EE" w:rsidP="002F65EE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  <w:lang w:val="en-US"/>
              </w:rPr>
              <w:t xml:space="preserve">Evelyn </w:t>
            </w:r>
            <w:proofErr w:type="spellStart"/>
            <w:r w:rsidRPr="002F65EE">
              <w:rPr>
                <w:rFonts w:ascii="Times New Roman" w:hAnsi="Times New Roman" w:cs="Times New Roman"/>
                <w:lang w:val="en-US"/>
              </w:rPr>
              <w:t>Blatyta</w:t>
            </w:r>
            <w:proofErr w:type="spellEnd"/>
          </w:p>
        </w:tc>
        <w:tc>
          <w:tcPr>
            <w:tcW w:w="4111" w:type="dxa"/>
          </w:tcPr>
          <w:p w:rsidR="002F65EE" w:rsidRPr="002F65EE" w:rsidRDefault="002F65EE" w:rsidP="002F65EE">
            <w:pPr>
              <w:ind w:firstLine="49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5EE">
              <w:rPr>
                <w:rFonts w:ascii="Times New Roman" w:hAnsi="Times New Roman" w:cs="Times New Roman"/>
                <w:lang w:val="en-US"/>
              </w:rPr>
              <w:t>6.620.840-3 SSP/SP</w:t>
            </w:r>
          </w:p>
        </w:tc>
      </w:tr>
      <w:tr w:rsidR="002F65EE" w:rsidTr="002F65EE">
        <w:tc>
          <w:tcPr>
            <w:tcW w:w="4786" w:type="dxa"/>
          </w:tcPr>
          <w:p w:rsidR="002F65EE" w:rsidRDefault="002F65EE" w:rsidP="002F65EE">
            <w:pPr>
              <w:ind w:left="-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65EE">
              <w:rPr>
                <w:rFonts w:ascii="Times New Roman" w:hAnsi="Times New Roman" w:cs="Times New Roman"/>
                <w:lang w:val="en-US"/>
              </w:rPr>
              <w:t>Geiva</w:t>
            </w:r>
            <w:proofErr w:type="spellEnd"/>
            <w:r w:rsidRPr="002F65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65EE">
              <w:rPr>
                <w:rFonts w:ascii="Times New Roman" w:hAnsi="Times New Roman" w:cs="Times New Roman"/>
                <w:lang w:val="en-US"/>
              </w:rPr>
              <w:t>Glock</w:t>
            </w:r>
            <w:proofErr w:type="spellEnd"/>
            <w:r w:rsidRPr="002F65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65EE">
              <w:rPr>
                <w:rFonts w:ascii="Times New Roman" w:hAnsi="Times New Roman" w:cs="Times New Roman"/>
                <w:lang w:val="en-US"/>
              </w:rPr>
              <w:t>Timoner</w:t>
            </w:r>
            <w:proofErr w:type="spellEnd"/>
          </w:p>
        </w:tc>
        <w:tc>
          <w:tcPr>
            <w:tcW w:w="4111" w:type="dxa"/>
          </w:tcPr>
          <w:p w:rsidR="002F65EE" w:rsidRPr="002F65EE" w:rsidRDefault="002F65EE" w:rsidP="002F65EE">
            <w:pPr>
              <w:ind w:firstLine="49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5EE">
              <w:rPr>
                <w:rFonts w:ascii="Times New Roman" w:hAnsi="Times New Roman" w:cs="Times New Roman"/>
                <w:lang w:val="en-US"/>
              </w:rPr>
              <w:t>26.269.491-8 SSP/SP</w:t>
            </w:r>
          </w:p>
        </w:tc>
      </w:tr>
    </w:tbl>
    <w:p w:rsidR="002F65EE" w:rsidRPr="002F65EE" w:rsidRDefault="002F65E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2FB" w:rsidRDefault="00845719" w:rsidP="002F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t>ALOIZIO MERCADANTE OLIVA</w:t>
      </w:r>
    </w:p>
    <w:p w:rsidR="00F72400" w:rsidRPr="002F65EE" w:rsidRDefault="00F72400" w:rsidP="002F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96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70111" w:rsidRPr="002F65EE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COORDENAÇÃO DE APERFEIÇOAMENTO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DE PESSOAL DE NÍVEL SUPERIOR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PORTARIA N</w:t>
      </w:r>
      <w:r w:rsidR="00F72400">
        <w:rPr>
          <w:rFonts w:ascii="Times New Roman" w:hAnsi="Times New Roman" w:cs="Times New Roman"/>
          <w:b/>
        </w:rPr>
        <w:t>º</w:t>
      </w:r>
      <w:r w:rsidRPr="00970111">
        <w:rPr>
          <w:rFonts w:ascii="Times New Roman" w:hAnsi="Times New Roman" w:cs="Times New Roman"/>
          <w:b/>
        </w:rPr>
        <w:t xml:space="preserve"> 10,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O Presidente da Coordenação de Aperfeiçoamento de Pessoal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de Nível Superior - </w:t>
      </w:r>
      <w:proofErr w:type="gramStart"/>
      <w:r w:rsidRPr="002F65EE">
        <w:rPr>
          <w:rFonts w:ascii="Times New Roman" w:hAnsi="Times New Roman" w:cs="Times New Roman"/>
        </w:rPr>
        <w:t>CAPES,</w:t>
      </w:r>
      <w:proofErr w:type="gramEnd"/>
      <w:r w:rsidRPr="002F65EE">
        <w:rPr>
          <w:rFonts w:ascii="Times New Roman" w:hAnsi="Times New Roman" w:cs="Times New Roman"/>
        </w:rPr>
        <w:t xml:space="preserve"> no uso das atribuições que lhe são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conferidas pelo Estatuto aprovado pelo Decreto nº 7.692,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02/03/2012, publicado no Diário Oficial da União de 06/03/2012,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resolve:</w:t>
      </w:r>
    </w:p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Art.1º Estabelecer o calendário de atividades relativas às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ações de avaliação dos cursos de pós-graduação, a cargo da Diretoria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Avaliação da CAPES.</w:t>
      </w:r>
    </w:p>
    <w:p w:rsidR="00970111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573"/>
      </w:tblGrid>
      <w:tr w:rsidR="00970111" w:rsidTr="00970111">
        <w:tc>
          <w:tcPr>
            <w:tcW w:w="5637" w:type="dxa"/>
          </w:tcPr>
          <w:p w:rsidR="00970111" w:rsidRPr="00970111" w:rsidRDefault="00970111" w:rsidP="00970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111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3573" w:type="dxa"/>
          </w:tcPr>
          <w:p w:rsidR="00970111" w:rsidRPr="00970111" w:rsidRDefault="00970111" w:rsidP="00970111">
            <w:pPr>
              <w:ind w:firstLine="18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970111" w:rsidTr="00970111">
        <w:tc>
          <w:tcPr>
            <w:tcW w:w="5637" w:type="dxa"/>
          </w:tcPr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CAPESNET - Coleta: dados do ano 2012</w:t>
            </w:r>
          </w:p>
        </w:tc>
        <w:tc>
          <w:tcPr>
            <w:tcW w:w="3573" w:type="dxa"/>
          </w:tcPr>
          <w:p w:rsidR="00970111" w:rsidRPr="002F65EE" w:rsidRDefault="00970111" w:rsidP="00970111">
            <w:pPr>
              <w:ind w:left="-352"/>
              <w:rPr>
                <w:rFonts w:ascii="Times New Roman" w:hAnsi="Times New Roman" w:cs="Times New Roman"/>
              </w:rPr>
            </w:pPr>
          </w:p>
          <w:p w:rsidR="00970111" w:rsidRDefault="00970111" w:rsidP="00805083">
            <w:pPr>
              <w:ind w:left="-352" w:hanging="40"/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25 de fevereiro a 25 de abril de</w:t>
            </w:r>
            <w:r w:rsidR="00805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70111" w:rsidTr="00970111">
        <w:tc>
          <w:tcPr>
            <w:tcW w:w="5637" w:type="dxa"/>
          </w:tcPr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Apresentação de Novas Propostas de Mestrado</w:t>
            </w:r>
          </w:p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Profissional (APCN-MP)</w:t>
            </w:r>
          </w:p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70111" w:rsidRDefault="00970111" w:rsidP="00805083">
            <w:pPr>
              <w:ind w:left="-352" w:hanging="40"/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27 de fevereiro a 27 de março de</w:t>
            </w:r>
            <w:r w:rsidR="00805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70111" w:rsidTr="00970111">
        <w:tc>
          <w:tcPr>
            <w:tcW w:w="5637" w:type="dxa"/>
          </w:tcPr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Apresentação de Novas Propostas de Mestrado e</w:t>
            </w:r>
          </w:p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 xml:space="preserve">Doutorado Interinstitucional (Minter e </w:t>
            </w:r>
            <w:proofErr w:type="spellStart"/>
            <w:r w:rsidRPr="002F65EE">
              <w:rPr>
                <w:rFonts w:ascii="Times New Roman" w:hAnsi="Times New Roman" w:cs="Times New Roman"/>
              </w:rPr>
              <w:t>Dinter</w:t>
            </w:r>
            <w:proofErr w:type="spellEnd"/>
            <w:r w:rsidRPr="002F65EE">
              <w:rPr>
                <w:rFonts w:ascii="Times New Roman" w:hAnsi="Times New Roman" w:cs="Times New Roman"/>
              </w:rPr>
              <w:t>)</w:t>
            </w:r>
          </w:p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70111" w:rsidRDefault="00970111" w:rsidP="00805083">
            <w:pPr>
              <w:ind w:left="-352" w:hanging="40"/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27 de fevereiro a 27 de março de</w:t>
            </w:r>
            <w:r w:rsidR="00805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70111" w:rsidTr="00970111">
        <w:tc>
          <w:tcPr>
            <w:tcW w:w="5637" w:type="dxa"/>
          </w:tcPr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Apresentação de Novas Propostas de Mestrado e</w:t>
            </w:r>
          </w:p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5EE">
              <w:rPr>
                <w:rFonts w:ascii="Times New Roman" w:hAnsi="Times New Roman" w:cs="Times New Roman"/>
              </w:rPr>
              <w:t>Doutorado Acadêmicos</w:t>
            </w:r>
            <w:proofErr w:type="gramEnd"/>
            <w:r w:rsidRPr="002F65EE">
              <w:rPr>
                <w:rFonts w:ascii="Times New Roman" w:hAnsi="Times New Roman" w:cs="Times New Roman"/>
              </w:rPr>
              <w:t xml:space="preserve"> (APCN)</w:t>
            </w:r>
          </w:p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70111" w:rsidRPr="002F65EE" w:rsidRDefault="00970111" w:rsidP="00970111">
            <w:pPr>
              <w:ind w:left="-352" w:hanging="40"/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01 a 30 de abril de 2013</w:t>
            </w:r>
          </w:p>
          <w:p w:rsidR="00970111" w:rsidRDefault="00970111" w:rsidP="00970111">
            <w:pPr>
              <w:ind w:left="-352"/>
              <w:rPr>
                <w:rFonts w:ascii="Times New Roman" w:hAnsi="Times New Roman" w:cs="Times New Roman"/>
              </w:rPr>
            </w:pPr>
          </w:p>
        </w:tc>
      </w:tr>
    </w:tbl>
    <w:p w:rsidR="00F72400" w:rsidRDefault="00970111" w:rsidP="00F72400">
      <w:pPr>
        <w:jc w:val="center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70111" w:rsidTr="00970111">
        <w:tc>
          <w:tcPr>
            <w:tcW w:w="4605" w:type="dxa"/>
          </w:tcPr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lastRenderedPageBreak/>
              <w:t>Avaliação trienal</w:t>
            </w:r>
          </w:p>
        </w:tc>
        <w:tc>
          <w:tcPr>
            <w:tcW w:w="4605" w:type="dxa"/>
          </w:tcPr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30 de setembro a 25 de outubro de</w:t>
            </w:r>
          </w:p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70111" w:rsidTr="00970111">
        <w:tc>
          <w:tcPr>
            <w:tcW w:w="4605" w:type="dxa"/>
          </w:tcPr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Reunião do CTC-ES - deliberação dos resultados</w:t>
            </w:r>
          </w:p>
          <w:p w:rsidR="00970111" w:rsidRPr="002F65EE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5EE">
              <w:rPr>
                <w:rFonts w:ascii="Times New Roman" w:hAnsi="Times New Roman" w:cs="Times New Roman"/>
              </w:rPr>
              <w:t>da</w:t>
            </w:r>
            <w:proofErr w:type="gramEnd"/>
            <w:r w:rsidRPr="002F65EE">
              <w:rPr>
                <w:rFonts w:ascii="Times New Roman" w:hAnsi="Times New Roman" w:cs="Times New Roman"/>
              </w:rPr>
              <w:t xml:space="preserve"> Avaliação Trienal</w:t>
            </w:r>
          </w:p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18 a 29 de novembro de 2013</w:t>
            </w:r>
          </w:p>
        </w:tc>
      </w:tr>
      <w:tr w:rsidR="00970111" w:rsidTr="00970111">
        <w:tc>
          <w:tcPr>
            <w:tcW w:w="4605" w:type="dxa"/>
          </w:tcPr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Divulgação dos resultados da Avaliação Trienal</w:t>
            </w:r>
          </w:p>
        </w:tc>
        <w:tc>
          <w:tcPr>
            <w:tcW w:w="4605" w:type="dxa"/>
          </w:tcPr>
          <w:p w:rsidR="00970111" w:rsidRDefault="00970111" w:rsidP="0097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de dezembro de 2013</w:t>
            </w:r>
          </w:p>
        </w:tc>
      </w:tr>
      <w:tr w:rsidR="00970111" w:rsidTr="00970111">
        <w:tc>
          <w:tcPr>
            <w:tcW w:w="4605" w:type="dxa"/>
          </w:tcPr>
          <w:p w:rsidR="00970111" w:rsidRDefault="00970111" w:rsidP="00970111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Pedidos de Reconsideração sobre a Avaliação Trienal</w:t>
            </w:r>
          </w:p>
        </w:tc>
        <w:tc>
          <w:tcPr>
            <w:tcW w:w="4605" w:type="dxa"/>
          </w:tcPr>
          <w:p w:rsidR="00970111" w:rsidRDefault="00970111" w:rsidP="00805083">
            <w:pPr>
              <w:jc w:val="center"/>
              <w:rPr>
                <w:rFonts w:ascii="Times New Roman" w:hAnsi="Times New Roman" w:cs="Times New Roman"/>
              </w:rPr>
            </w:pPr>
            <w:r w:rsidRPr="002F65EE">
              <w:rPr>
                <w:rFonts w:ascii="Times New Roman" w:hAnsi="Times New Roman" w:cs="Times New Roman"/>
              </w:rPr>
              <w:t>03 de dezembro de 2013 a 10 de janeiro</w:t>
            </w:r>
            <w:r w:rsidR="00805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2014</w:t>
            </w:r>
          </w:p>
        </w:tc>
      </w:tr>
    </w:tbl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2º Esta portaria entra em vigor na data de sua assinatura.</w:t>
      </w:r>
    </w:p>
    <w:p w:rsidR="00970111" w:rsidRPr="002F65EE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ALMEIDA GUIMARÃES</w:t>
      </w: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96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INSTITUTO NACIONAL DE ESTUDOS</w:t>
      </w:r>
      <w:r w:rsidR="00970111"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>E PESQUISAS EDUCACIONAIS ANÍSIO</w:t>
      </w: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TEIXEIRA</w:t>
      </w:r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RETIFICAÇÃO</w:t>
      </w:r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F65EE">
        <w:rPr>
          <w:rFonts w:ascii="Times New Roman" w:hAnsi="Times New Roman" w:cs="Times New Roman"/>
        </w:rPr>
        <w:t>Na Portaria nº 9 de 14 de janeiro de 2013, publicada no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Diário Oficial da União nº 11, de 16 de janeiro de 2013, Seção 1, pág.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7, Art. 1º letra h)</w:t>
      </w:r>
      <w:proofErr w:type="gramEnd"/>
      <w:r w:rsidRPr="002F65EE">
        <w:rPr>
          <w:rFonts w:ascii="Times New Roman" w:hAnsi="Times New Roman" w:cs="Times New Roman"/>
        </w:rPr>
        <w:t>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Onde se lê: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h) divulgação dos dados consolidados do Censo da Educação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 2011.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Data: 12/08/2013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Responsável: Inep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Leia-se: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h) divulgação dos dados consolidados do Censo da Educação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 2012.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Data: 12/08/2013</w:t>
      </w:r>
    </w:p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Responsável: Inep</w:t>
      </w:r>
    </w:p>
    <w:p w:rsidR="00970111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96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72400" w:rsidRDefault="00F72400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70111" w:rsidRDefault="00970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70111" w:rsidRPr="00970111" w:rsidRDefault="00F72400" w:rsidP="00F72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lastRenderedPageBreak/>
        <w:t>MINISTÉRIO DA EDUCAÇÃO</w:t>
      </w: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SECRETARIA DE REGULAÇÃO E SUPERVISÃO</w:t>
      </w:r>
      <w:r w:rsidR="00970111"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>DA EDUCAÇÃO SUPERIOR</w:t>
      </w:r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INSTRUÇÃO NORMATIVA Nº 3,</w:t>
      </w:r>
      <w:r w:rsidR="00970111"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 xml:space="preserve">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970111" w:rsidRPr="00970111" w:rsidRDefault="00970111" w:rsidP="0097011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</w:rPr>
      </w:pPr>
    </w:p>
    <w:p w:rsidR="00845719" w:rsidRDefault="00845719" w:rsidP="0097011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Estabelece os procedimentos de aditamento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atos regulatórios para alteração no número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vagas de cursos superiores de graduação,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na modalidade presencial, ofertados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 instituições de ensino que não detém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prerrogativa de autonomia universitária.</w:t>
      </w:r>
    </w:p>
    <w:p w:rsidR="00970111" w:rsidRPr="002F65EE" w:rsidRDefault="00970111" w:rsidP="0097011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O SECRETÁRIO DE REGULAÇÃO E SUPERVISÃO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EDUCAÇÃO SUPERIOR, no uso da competência que lhe foi conferida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pelos incisos I e V, do art. 26, do Decreto n°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março de 2012, e tendo em vista o Decreto n° 5.773, de 9 de maio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2006, e suas alterações, bem como o inciso I, do artigo 61,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Normativa MEC n° 40, de 12 de dezembro de 2007, republicada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em 29 de dezembro de 2010, e com fundamento na Nota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Técnica CGFPR/DIREG/SERES/MEC n° 563, de 2012, e na Recomendação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CC - PARES n° 02, de 2012, de que trata o art. 5°,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MEC n° 1006, de 10 de agosto de 2012, resolve: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1° Os pedidos de alteração de número de vagas autorizadas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cursos superiores de graduação, na modalidade presencial,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ofertados por instituições de educação superior - IES que não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detêm prerrogativa de autonomia universitária</w:t>
      </w:r>
      <w:proofErr w:type="gramStart"/>
      <w:r w:rsidRPr="002F65EE">
        <w:rPr>
          <w:rFonts w:ascii="Times New Roman" w:hAnsi="Times New Roman" w:cs="Times New Roman"/>
        </w:rPr>
        <w:t>, devem</w:t>
      </w:r>
      <w:proofErr w:type="gramEnd"/>
      <w:r w:rsidRPr="002F65EE">
        <w:rPr>
          <w:rFonts w:ascii="Times New Roman" w:hAnsi="Times New Roman" w:cs="Times New Roman"/>
        </w:rPr>
        <w:t xml:space="preserve"> tramitar como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pedido de aditamento ao ato de autorização, reconhecimento ou renovação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reconhecimento.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1° Os pedidos mencionados no caput serão processados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mediante análise documental, ressalvada a necessidade de avaliação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in loco apontada pela Secretaria de Regulação e Supervisão da Educação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Superior- SERES.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A alteração de vagas em cursos oferecidos por instituições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que detêm prerrogativa de autonomia universitária, devidamente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provado pelo órgão competente, compatível com a capacidade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institucional e com as normas da educação nacional e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sistema de federal de ensino, nos termos do art. 53, IV, da Lei n°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9.394, de 20 de dezembro de 1996, não depende de aditamento,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devendo ser informada como atualização, na forma do artigo 56-A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Normativa MEC n° 40, de 2007.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3° O remanejamento de vagas já autorizadas entre turnos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um mesmo curso presencial ou a criação de turno, nas mesmas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condições, dispensa o aditamento do ato autorizativo, devendo ser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processados na forma do artigo 56-A, §1°, da Portaria Normativa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MEC n° 40, de 2007.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§ 4° A critério </w:t>
      </w:r>
      <w:proofErr w:type="gramStart"/>
      <w:r w:rsidRPr="002F65EE">
        <w:rPr>
          <w:rFonts w:ascii="Times New Roman" w:hAnsi="Times New Roman" w:cs="Times New Roman"/>
        </w:rPr>
        <w:t>da SERES</w:t>
      </w:r>
      <w:proofErr w:type="gramEnd"/>
      <w:r w:rsidRPr="002F65EE">
        <w:rPr>
          <w:rFonts w:ascii="Times New Roman" w:hAnsi="Times New Roman" w:cs="Times New Roman"/>
        </w:rPr>
        <w:t>, até a implantação de funcionalidade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no sistema </w:t>
      </w:r>
      <w:proofErr w:type="spellStart"/>
      <w:r w:rsidRPr="002F65EE">
        <w:rPr>
          <w:rFonts w:ascii="Times New Roman" w:hAnsi="Times New Roman" w:cs="Times New Roman"/>
        </w:rPr>
        <w:t>e-MEC</w:t>
      </w:r>
      <w:proofErr w:type="spellEnd"/>
      <w:r w:rsidRPr="002F65EE">
        <w:rPr>
          <w:rFonts w:ascii="Times New Roman" w:hAnsi="Times New Roman" w:cs="Times New Roman"/>
        </w:rPr>
        <w:t>, os pedidos de alteração de número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vagas autorizadas de cursos superiores de graduação, na modalidade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presencial, ofertados por IES que não detêm prerrogativa de autonomia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universitária, bem como os mencionados no art. 28, § 2°,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Decreto n° 5.773, de 9 de maio de 2006, devem ser protocolados, por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meio de ofício, junto àquela Secretaria.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2° O pedido de aumento de vagas deve observar 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seguintes requisitos, cumulativamente: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curso reconhecido;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Conceito Institucional (CI) ou Índice Geral de Cursos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(IGC) satisfatório (maior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>) no último ciclo avaliativo do</w:t>
      </w:r>
      <w:r w:rsidR="00970111">
        <w:rPr>
          <w:rFonts w:ascii="Times New Roman" w:hAnsi="Times New Roman" w:cs="Times New Roman"/>
        </w:rPr>
        <w:t xml:space="preserve"> </w:t>
      </w:r>
      <w:proofErr w:type="spellStart"/>
      <w:r w:rsidRPr="002F65EE">
        <w:rPr>
          <w:rFonts w:ascii="Times New Roman" w:hAnsi="Times New Roman" w:cs="Times New Roman"/>
        </w:rPr>
        <w:t>Sinaes</w:t>
      </w:r>
      <w:proofErr w:type="spellEnd"/>
      <w:r w:rsidRPr="002F65EE">
        <w:rPr>
          <w:rFonts w:ascii="Times New Roman" w:hAnsi="Times New Roman" w:cs="Times New Roman"/>
        </w:rPr>
        <w:t>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III - Conceito de Curso (CC) ou Conceito Preliminar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Curso (CPC) satisfatório (maior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>) no último ciclo avaliativo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do </w:t>
      </w:r>
      <w:proofErr w:type="spellStart"/>
      <w:r w:rsidRPr="002F65EE">
        <w:rPr>
          <w:rFonts w:ascii="Times New Roman" w:hAnsi="Times New Roman" w:cs="Times New Roman"/>
        </w:rPr>
        <w:t>Sinaes</w:t>
      </w:r>
      <w:proofErr w:type="spellEnd"/>
      <w:r w:rsidRPr="002F65EE">
        <w:rPr>
          <w:rFonts w:ascii="Times New Roman" w:hAnsi="Times New Roman" w:cs="Times New Roman"/>
        </w:rPr>
        <w:t>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IV - apresentar na dimensão infraestrutura da ultima avaliação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in loco do curso conceito 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 xml:space="preserve"> (três);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V - não ter o curso sofrido penalidade nos últimos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(dois)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anos;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VI - curso não ser objeto de processo administrativo para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aplicação de penalidade;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VII - não exceder o percentual de cem por cento na faixa </w:t>
      </w:r>
      <w:proofErr w:type="gramStart"/>
      <w:r w:rsidRPr="002F65EE">
        <w:rPr>
          <w:rFonts w:ascii="Times New Roman" w:hAnsi="Times New Roman" w:cs="Times New Roman"/>
        </w:rPr>
        <w:t>1</w:t>
      </w:r>
      <w:proofErr w:type="gramEnd"/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descrita no art. 1° do Anexo I desta Instrução Normativa;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VIII - não exceder o percentual de cento e vinte cento na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faixa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descrita no art. 1° do Anexo I desta Instrução Normativa; e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lastRenderedPageBreak/>
        <w:t>IX - não exceder o percentual de cento e cinquenta por cento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na faixa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 xml:space="preserve"> descrita no art. 1° do Anexo I desta Instrução Normativa.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3° O pedido de aumento de vagas deverá ser instruído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 as seguintes informações: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a quantidade de vagas pleiteada e justificativa que contemple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a demanda social; </w:t>
      </w:r>
      <w:proofErr w:type="gramStart"/>
      <w:r w:rsidRPr="002F65EE">
        <w:rPr>
          <w:rFonts w:ascii="Times New Roman" w:hAnsi="Times New Roman" w:cs="Times New Roman"/>
        </w:rPr>
        <w:t>e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evidências de que as instalações físicas comportam, sem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comprometimento da qualidade de oferta, a quantidade total de vagas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pleiteada.</w:t>
      </w:r>
      <w:r w:rsidRPr="002F65EE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Parágrafo único. A demanda social poderá ser demonstrada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pelo número de inscritos no último processo seletivo em relação ao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quantitativo de vagas ofertado ou pela taxa de ocupação do curso nos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últimos dois anos, conforme dados do censo da educação superior.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4° O pedido de redução de vagas deverá ser instruído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 a quantidade de vagas pleiteada e a respectiva justificativa.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5° Após o protocolo, o processo será submetido à análise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técnica da Diretoria de Regulação da Educação Superior da </w:t>
      </w:r>
      <w:proofErr w:type="gramStart"/>
      <w:r w:rsidRPr="002F65EE">
        <w:rPr>
          <w:rFonts w:ascii="Times New Roman" w:hAnsi="Times New Roman" w:cs="Times New Roman"/>
        </w:rPr>
        <w:t>Secretaria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F65EE">
        <w:rPr>
          <w:rFonts w:ascii="Times New Roman" w:hAnsi="Times New Roman" w:cs="Times New Roman"/>
        </w:rPr>
        <w:t>de</w:t>
      </w:r>
      <w:proofErr w:type="gramEnd"/>
      <w:r w:rsidRPr="002F65EE">
        <w:rPr>
          <w:rFonts w:ascii="Times New Roman" w:hAnsi="Times New Roman" w:cs="Times New Roman"/>
        </w:rPr>
        <w:t xml:space="preserve"> Regulação e Supervisão da Educação Superior </w:t>
      </w:r>
      <w:r w:rsidR="00970111">
        <w:rPr>
          <w:rFonts w:ascii="Times New Roman" w:hAnsi="Times New Roman" w:cs="Times New Roman"/>
        </w:rPr>
        <w:t>–</w:t>
      </w:r>
      <w:r w:rsidRPr="002F65EE">
        <w:rPr>
          <w:rFonts w:ascii="Times New Roman" w:hAnsi="Times New Roman" w:cs="Times New Roman"/>
        </w:rPr>
        <w:t xml:space="preserve"> DIREG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SERES.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1° Caso os documentos sejam omissos ou insuficientes à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apreciação conclusiva, a DIREG/SERES poderá instaurar diligência.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A diligência deverá ser atendida no prazo de 15 (quinze)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dias, contados da data de devolução pelos Correios, ao protocolo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desta Secretaria, do Aviso de Recebimento - AR, </w:t>
      </w:r>
      <w:proofErr w:type="gramStart"/>
      <w:r w:rsidRPr="002F65EE">
        <w:rPr>
          <w:rFonts w:ascii="Times New Roman" w:hAnsi="Times New Roman" w:cs="Times New Roman"/>
        </w:rPr>
        <w:t>sob pena</w:t>
      </w:r>
      <w:proofErr w:type="gramEnd"/>
      <w:r w:rsidRPr="002F65EE">
        <w:rPr>
          <w:rFonts w:ascii="Times New Roman" w:hAnsi="Times New Roman" w:cs="Times New Roman"/>
        </w:rPr>
        <w:t xml:space="preserve"> de arquivamento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processo.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6° A análise do pedido de aumento de vagas seguirá 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critérios apresentados no Anexo I.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7° Os requisitos e os critérios de análise de pedido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aumento de vagas poderão ser excepcionados nas seguintes situações: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microrregiões com baixa cobertura de oferta de educação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superior; </w:t>
      </w:r>
      <w:proofErr w:type="gramStart"/>
      <w:r w:rsidRPr="002F65EE">
        <w:rPr>
          <w:rFonts w:ascii="Times New Roman" w:hAnsi="Times New Roman" w:cs="Times New Roman"/>
        </w:rPr>
        <w:t>e</w:t>
      </w:r>
      <w:proofErr w:type="gramEnd"/>
    </w:p>
    <w:p w:rsidR="00970111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cursos considerados estratégicos pelas políticas públicas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País para a expansão da oferta de educação superior;</w:t>
      </w:r>
      <w:r w:rsidR="00970111">
        <w:rPr>
          <w:rFonts w:ascii="Times New Roman" w:hAnsi="Times New Roman" w:cs="Times New Roman"/>
        </w:rPr>
        <w:t xml:space="preserve"> 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Parágrafo único. Entende-se microrregião com baixa cobertura,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aquela definida pelo Instituto Brasileiro de Geografia e Estatística-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IBGE que apresente taxa bruta de matrícula na educação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 ou taxa líquida inferior à média nacional, conforme dados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último Censo da Educação Superior.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8° O titular da Secretaria de Regulação e Supervisão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Educação Superior decidirá pelo deferimento ou pelo indeferimento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pleito, mediante publicação de portaria no Diário Oficial da União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e, consequente, alteração cadastral.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9° O processo de alteração de vagas poderá ser analisado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conjuntamente com um processo de renovação de ato autorizativo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curso, sendo exarada uma única decisão final.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10. O deferimento do pedido de aumento de vagas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implica a vedação da aplicação de regras de desoneração de visita 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 obrigatoriedade de visita in loco, pelo Instituto Nacional de Estudos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 Pesquisas Educacionais Anísio Teixeira- INEP, para análise e expedição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do(s) próximo(s) ato(s) regulatório(s) do(s) curso(s).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11. As IES que tiveram redução de vagas decorrentes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penalidade definitiva em processo administrativo poderão solicitar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novo aumento de vagas observando as disposições e procedimentos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desta Instrução Normativa, em especial, o prazo de que trata o artigo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2°, inciso V.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12. Esta Instrução Normativa não se aplica aos pedidos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alteração de vagas dos cursos previstos no art. 28, § 2°, do Decreto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2006, ofertados por quaisquer IES do sistema federal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ensino.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Art. 13. Esta Instrução Normativa entra em vigor na data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sua publicação.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ANEXO</w:t>
      </w:r>
    </w:p>
    <w:p w:rsidR="00246174" w:rsidRPr="00AF6CD9" w:rsidRDefault="00246174" w:rsidP="0024617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Instrução Normativa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246174" w:rsidRPr="00970111" w:rsidRDefault="00246174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1° A análise do pedido de aumento de vagas observará os seguintes critérios: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lastRenderedPageBreak/>
        <w:t>§ 1° Para fins de enquadramento em cada faixa da tabela do art. 1º, o valor do parâmetro institucional será o maior resultado entre o IGC e o CI, e o valor do parâmetro de curso será o maior resultado entre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 CPC e o CC.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O enquadramento nas faixas previstas na tabela do art. 1° exige a apresentação cumulativa dos parâmetros institucional e de curso.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3° Nos casos de cursos cujo quantitativo de vagas seja inferior a 25% (vinte e cinco por cento) dos tetos definidos nas faixas 1, 2 e 3, da tabela do artigo 1º, poderá ser autorizado o aumento de vagas além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percentual limite correspondente, desde que não ultrapasse o teto previsto.</w:t>
      </w:r>
    </w:p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2° Na análise do pedido de aumento de vagas serão considerados também as penalidades aplicadas à IES e os processos de supervisão em andamento.</w:t>
      </w:r>
    </w:p>
    <w:p w:rsidR="00F72400" w:rsidRDefault="00F72400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72400" w:rsidRPr="002F65EE" w:rsidRDefault="00F72400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96</w:t>
      </w:r>
      <w:r>
        <w:rPr>
          <w:rFonts w:ascii="Times New Roman" w:hAnsi="Times New Roman" w:cs="Times New Roman"/>
          <w:b/>
          <w:i/>
        </w:rPr>
        <w:t>/97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 xml:space="preserve">PORTARIA Nº 16,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 março de 2012, tendo em vista o Decreto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2F65EE">
        <w:rPr>
          <w:rFonts w:ascii="Times New Roman" w:hAnsi="Times New Roman" w:cs="Times New Roman"/>
        </w:rPr>
        <w:t>9</w:t>
      </w:r>
      <w:proofErr w:type="gramEnd"/>
      <w:r w:rsidRPr="002F65EE">
        <w:rPr>
          <w:rFonts w:ascii="Times New Roman" w:hAnsi="Times New Roman" w:cs="Times New Roman"/>
        </w:rPr>
        <w:t xml:space="preserve">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maio de 2006, alterado pelo Decreto nº 6.303, de 12 de dezembro de 2007.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2º Esta Portaria entra em vigor na data de sua publicação.</w:t>
      </w: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805083" w:rsidRDefault="00805083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174" w:rsidRDefault="00246174" w:rsidP="00246174">
      <w:pPr>
        <w:spacing w:after="0" w:line="240" w:lineRule="auto"/>
        <w:rPr>
          <w:rFonts w:ascii="Times New Roman" w:hAnsi="Times New Roman" w:cs="Times New Roman"/>
        </w:rPr>
      </w:pPr>
      <w:r w:rsidRPr="00970111">
        <w:rPr>
          <w:rFonts w:ascii="Times New Roman" w:hAnsi="Times New Roman" w:cs="Times New Roman"/>
        </w:rPr>
        <w:t>ANEXO (Autorização de Cursos)</w:t>
      </w:r>
    </w:p>
    <w:p w:rsidR="00246174" w:rsidRPr="00970111" w:rsidRDefault="00246174" w:rsidP="00246174">
      <w:pPr>
        <w:spacing w:after="0" w:line="240" w:lineRule="auto"/>
        <w:rPr>
          <w:rFonts w:ascii="Times New Roman" w:hAnsi="Times New Roman" w:cs="Times New Roman"/>
        </w:rPr>
      </w:pPr>
    </w:p>
    <w:p w:rsidR="00246174" w:rsidRPr="00AF6CD9" w:rsidRDefault="00246174" w:rsidP="0024617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70111" w:rsidRDefault="00970111" w:rsidP="00246174">
      <w:pPr>
        <w:spacing w:after="0" w:line="240" w:lineRule="auto"/>
        <w:rPr>
          <w:rFonts w:ascii="Times New Roman" w:hAnsi="Times New Roman" w:cs="Times New Roman"/>
          <w:b/>
        </w:rPr>
      </w:pPr>
    </w:p>
    <w:p w:rsidR="00246174" w:rsidRDefault="00246174" w:rsidP="0024617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2400" w:rsidRPr="00AF6CD9" w:rsidRDefault="00F72400" w:rsidP="002461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246174" w:rsidRPr="00970111" w:rsidRDefault="00246174" w:rsidP="00246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 xml:space="preserve">PORTARIA Nº 17,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 março de 2012, tendo em vista o Decreto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2F65EE">
        <w:rPr>
          <w:rFonts w:ascii="Times New Roman" w:hAnsi="Times New Roman" w:cs="Times New Roman"/>
        </w:rPr>
        <w:t>9</w:t>
      </w:r>
      <w:proofErr w:type="gramEnd"/>
      <w:r w:rsidRPr="002F65EE">
        <w:rPr>
          <w:rFonts w:ascii="Times New Roman" w:hAnsi="Times New Roman" w:cs="Times New Roman"/>
        </w:rPr>
        <w:t xml:space="preserve">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maio de 2006, alterado pelo Decreto nº 6.303, de 12 de dezembro de 2007.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2º Esta Portaria entra em vigor na data de sua publicação.</w:t>
      </w:r>
    </w:p>
    <w:p w:rsidR="00845719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246174" w:rsidRDefault="00246174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174" w:rsidRPr="002F65EE" w:rsidRDefault="00246174" w:rsidP="00246174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ANEXO (Autorização de Cursos)</w:t>
      </w:r>
    </w:p>
    <w:p w:rsidR="00246174" w:rsidRDefault="00246174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174" w:rsidRPr="00AF6CD9" w:rsidRDefault="00246174" w:rsidP="0024617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F72400" w:rsidRPr="00970111" w:rsidRDefault="00F72400" w:rsidP="00246174">
      <w:pPr>
        <w:spacing w:after="0" w:line="240" w:lineRule="auto"/>
        <w:rPr>
          <w:rFonts w:ascii="Times New Roman" w:hAnsi="Times New Roman" w:cs="Times New Roman"/>
          <w:b/>
        </w:rPr>
      </w:pPr>
    </w:p>
    <w:p w:rsidR="00970111" w:rsidRPr="00805083" w:rsidRDefault="00F72400" w:rsidP="008050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8/99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72400" w:rsidRPr="00970111" w:rsidRDefault="00F72400" w:rsidP="00F72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lastRenderedPageBreak/>
        <w:t>MINISTÉRIO DA EDUCAÇÃO</w:t>
      </w:r>
    </w:p>
    <w:p w:rsidR="00845719" w:rsidRPr="00805083" w:rsidRDefault="00F72400" w:rsidP="00805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>DA EDUCAÇÃO SUPERIOR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 xml:space="preserve">PORTARIA Nº 18,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 março de 2012, tendo em vista o Decreto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2F65EE">
        <w:rPr>
          <w:rFonts w:ascii="Times New Roman" w:hAnsi="Times New Roman" w:cs="Times New Roman"/>
        </w:rPr>
        <w:t>9</w:t>
      </w:r>
      <w:proofErr w:type="gramEnd"/>
      <w:r w:rsidRPr="002F65EE">
        <w:rPr>
          <w:rFonts w:ascii="Times New Roman" w:hAnsi="Times New Roman" w:cs="Times New Roman"/>
        </w:rPr>
        <w:t xml:space="preserve">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maio de 2006, alterado pelo Decreto nº 6.303, de 12 de dezembro de 2007.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2º Esta Portaria entra em vigor na data de sua publicação.</w:t>
      </w: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ANEXO (Autorização de Cursos)</w:t>
      </w:r>
    </w:p>
    <w:p w:rsidR="00246174" w:rsidRDefault="00246174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46174" w:rsidRPr="00AF6CD9" w:rsidRDefault="00246174" w:rsidP="0024617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70111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70111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70111" w:rsidRPr="002F65EE" w:rsidRDefault="00970111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5719" w:rsidRPr="00970111" w:rsidRDefault="00845719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 xml:space="preserve">PORTARIA Nº 19,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O SECRETÁRIO DE REGULAÇÃO E SUPERVISÃO 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EDUCAÇAO SUPERIOR, no uso da competência que lhe foi conferida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pelo Decreto nº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 março de 2012, tendo em vista</w:t>
      </w:r>
      <w:r w:rsidR="00970111">
        <w:rPr>
          <w:rFonts w:ascii="Times New Roman" w:hAnsi="Times New Roman" w:cs="Times New Roman"/>
        </w:rPr>
        <w:t xml:space="preserve">  </w:t>
      </w:r>
      <w:r w:rsidRPr="002F65EE">
        <w:rPr>
          <w:rFonts w:ascii="Times New Roman" w:hAnsi="Times New Roman" w:cs="Times New Roman"/>
        </w:rPr>
        <w:t>o Decreto nº 5.773, de 9 de maio de 2006, e suas alterações, e 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Normativa nº 40, de 12 de dezembro de 2007, republicada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em 29 de dezembro de 2010, acolhendo integralmente a Nota Técnica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CGSUP/DISUP/SERES/MEC, nº 25, de 2013, resolve: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I.</w:t>
      </w:r>
      <w:proofErr w:type="gramEnd"/>
      <w:r w:rsidRPr="002F65EE">
        <w:rPr>
          <w:rFonts w:ascii="Times New Roman" w:hAnsi="Times New Roman" w:cs="Times New Roman"/>
        </w:rPr>
        <w:t>Fica</w:t>
      </w:r>
      <w:proofErr w:type="spellEnd"/>
      <w:r w:rsidRPr="002F65EE">
        <w:rPr>
          <w:rFonts w:ascii="Times New Roman" w:hAnsi="Times New Roman" w:cs="Times New Roman"/>
        </w:rPr>
        <w:t xml:space="preserve"> instaurado processo administrativo em face da Universidade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Vale do Rio Verde-UNINCOR, mantida pela Fundação Comunitária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Tricordiana de Educação, em razão das deficiências constatadas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em seu curso de Medicina, no campus de Belo Horizonte,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 vistas à aplicação da penalidade de desativação de curso prevista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no art. 52 do Decreto nº 5.773, de 2006;</w:t>
      </w:r>
    </w:p>
    <w:p w:rsidR="00845719" w:rsidRPr="002F65EE" w:rsidRDefault="00845719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II.</w:t>
      </w:r>
      <w:proofErr w:type="gramEnd"/>
      <w:r w:rsidRPr="002F65EE">
        <w:rPr>
          <w:rFonts w:ascii="Times New Roman" w:hAnsi="Times New Roman" w:cs="Times New Roman"/>
        </w:rPr>
        <w:t>Fica</w:t>
      </w:r>
      <w:proofErr w:type="spellEnd"/>
      <w:r w:rsidRPr="002F65EE">
        <w:rPr>
          <w:rFonts w:ascii="Times New Roman" w:hAnsi="Times New Roman" w:cs="Times New Roman"/>
        </w:rPr>
        <w:t xml:space="preserve"> instituída a Comissão de Supervisão com vistas 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verificar, no campus Belo Horizonte -MG, as condições de organização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acervo acadêmico e delimitar o corpo discente do curso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Medicina da Universidade Vale do Rio Verde;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III.</w:t>
      </w:r>
      <w:proofErr w:type="gramEnd"/>
      <w:r w:rsidRPr="002F65EE">
        <w:rPr>
          <w:rFonts w:ascii="Times New Roman" w:hAnsi="Times New Roman" w:cs="Times New Roman"/>
        </w:rPr>
        <w:t>Fica</w:t>
      </w:r>
      <w:proofErr w:type="spellEnd"/>
      <w:r w:rsidRPr="002F65EE">
        <w:rPr>
          <w:rFonts w:ascii="Times New Roman" w:hAnsi="Times New Roman" w:cs="Times New Roman"/>
        </w:rPr>
        <w:t xml:space="preserve"> instituída a Comissão de Supervisão com vistas 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verificar, no campus sede em Três Corações-MG, as condições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organização do acervo acadêmico e delimitar o corpo discente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curso de Medicina da Universidade Vale do Rio Verde;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IV.</w:t>
      </w:r>
      <w:proofErr w:type="gramEnd"/>
      <w:r w:rsidRPr="002F65EE">
        <w:rPr>
          <w:rFonts w:ascii="Times New Roman" w:hAnsi="Times New Roman" w:cs="Times New Roman"/>
        </w:rPr>
        <w:t>Determina</w:t>
      </w:r>
      <w:proofErr w:type="spellEnd"/>
      <w:r w:rsidRPr="002F65EE">
        <w:rPr>
          <w:rFonts w:ascii="Times New Roman" w:hAnsi="Times New Roman" w:cs="Times New Roman"/>
        </w:rPr>
        <w:t>-se que a Universidade Vale do Rio Verde e sua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mantenedora, na pessoa dos representantes legais, disponibilizem às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comissões, designadas por esta Secretaria de Regulação e Supervisão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da Educação Superior, arquivo digital com a relação nominal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estudantes ativos, ingressantes até 28/01/2011, e inativos do curso 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Medicina, organizados por semestre letivo, além da documentação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solicitada pelas comissões que possa ser prontamente disponibilizada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pela IES;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V.</w:t>
      </w:r>
      <w:proofErr w:type="gramEnd"/>
      <w:r w:rsidRPr="002F65EE">
        <w:rPr>
          <w:rFonts w:ascii="Times New Roman" w:hAnsi="Times New Roman" w:cs="Times New Roman"/>
        </w:rPr>
        <w:t>Determina</w:t>
      </w:r>
      <w:proofErr w:type="spellEnd"/>
      <w:r w:rsidRPr="002F65EE">
        <w:rPr>
          <w:rFonts w:ascii="Times New Roman" w:hAnsi="Times New Roman" w:cs="Times New Roman"/>
        </w:rPr>
        <w:t>-se que a Universidade Vale do Rio Verde e sua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mantenedora, na pessoa dos representantes legais, apresentem à DISUP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arquivo eletrônico com a relação de estudantes ativos, ingressantes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até 28/01/2011, e inativos, por curso, por meio de Formulário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Padrão, contendo as seguintes informações: nome; identidade; número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CPF; endereço; modalidade; unidade à qual está vinculado;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ano/semestre de ingresso; semestre, se o estudante estiver cumprindo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disciplinas; status do aluno (cursando, trancado, desistente, transferido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ou formado, neste último caso, diferenciando os que já retiraram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seus diplomas, os que colaram grau e não solicitaram 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diploma e os que não colaram grau, comprovando documentalmente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 envio de cópia da ata de colação de grau); contato eletrônico 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telefônico, no prazo de 15 (quinze) dias corridos, a contar da notificação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da IES;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lastRenderedPageBreak/>
        <w:t>VI.</w:t>
      </w:r>
      <w:proofErr w:type="gramEnd"/>
      <w:r w:rsidRPr="002F65EE">
        <w:rPr>
          <w:rFonts w:ascii="Times New Roman" w:hAnsi="Times New Roman" w:cs="Times New Roman"/>
        </w:rPr>
        <w:t>Determina-se</w:t>
      </w:r>
      <w:proofErr w:type="spellEnd"/>
      <w:r w:rsidRPr="002F65EE">
        <w:rPr>
          <w:rFonts w:ascii="Times New Roman" w:hAnsi="Times New Roman" w:cs="Times New Roman"/>
        </w:rPr>
        <w:t xml:space="preserve"> que a Universidade Vale do Rio Verde e sua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mantenedora, na pessoa dos representantes legais, apresentem à DISUP,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em 15 (quinze) dias, os históricos escolares dos alunos do curso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Medicina;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VII.</w:t>
      </w:r>
      <w:proofErr w:type="gramEnd"/>
      <w:r w:rsidRPr="002F65EE">
        <w:rPr>
          <w:rFonts w:ascii="Times New Roman" w:hAnsi="Times New Roman" w:cs="Times New Roman"/>
        </w:rPr>
        <w:t>Determina</w:t>
      </w:r>
      <w:proofErr w:type="spellEnd"/>
      <w:r w:rsidRPr="002F65EE">
        <w:rPr>
          <w:rFonts w:ascii="Times New Roman" w:hAnsi="Times New Roman" w:cs="Times New Roman"/>
        </w:rPr>
        <w:t>-se que a Universidade Vale do Rio Verde 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sua mantenedora, na pessoa dos representantes legais, apresentem à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DISUP, em 15 (quinze) dias, o Projeto Pedagógico de Curso, as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Grades Curriculares e os Planos de Ensino (ementas e bibliografias),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dos cursos ofertados devidamente atualizados;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65EE">
        <w:rPr>
          <w:rFonts w:ascii="Times New Roman" w:hAnsi="Times New Roman" w:cs="Times New Roman"/>
        </w:rPr>
        <w:t>VIII.</w:t>
      </w:r>
      <w:proofErr w:type="gramEnd"/>
      <w:r w:rsidRPr="002F65EE">
        <w:rPr>
          <w:rFonts w:ascii="Times New Roman" w:hAnsi="Times New Roman" w:cs="Times New Roman"/>
        </w:rPr>
        <w:t>Determina</w:t>
      </w:r>
      <w:proofErr w:type="spellEnd"/>
      <w:r w:rsidRPr="002F65EE">
        <w:rPr>
          <w:rFonts w:ascii="Times New Roman" w:hAnsi="Times New Roman" w:cs="Times New Roman"/>
        </w:rPr>
        <w:t>-se que seja a Universidade Vale do Rio Verde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notificada da publicação da Portaria, nos termos do art. 53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Decreto n° 5.773, de 2006.</w:t>
      </w:r>
    </w:p>
    <w:p w:rsidR="00845719" w:rsidRDefault="00C6140E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F72400" w:rsidRPr="00970111" w:rsidRDefault="00F72400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400" w:rsidRPr="00AF6CD9" w:rsidRDefault="00F72400" w:rsidP="00F72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70111" w:rsidRPr="00970111" w:rsidRDefault="00970111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40E" w:rsidRPr="00970111" w:rsidRDefault="00C6140E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PORTARIA N</w:t>
      </w:r>
      <w:r w:rsidR="00F72400">
        <w:rPr>
          <w:rFonts w:ascii="Times New Roman" w:hAnsi="Times New Roman" w:cs="Times New Roman"/>
          <w:b/>
        </w:rPr>
        <w:t>º</w:t>
      </w:r>
      <w:r w:rsidRPr="00970111">
        <w:rPr>
          <w:rFonts w:ascii="Times New Roman" w:hAnsi="Times New Roman" w:cs="Times New Roman"/>
          <w:b/>
        </w:rPr>
        <w:t xml:space="preserve"> 20, 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 março de 2012, tendo em vista o Decreto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9 de maio de 2006, e suas alterações, e considerando o disposto na Portaria Normativa nº 40, de 12 de dezembro de 2007, republicada em 29 de dezembro de 2010, e a Ata da 1ª Reunião Ordinária do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Ano de 2013 da Diretoria Colegiada da Secretaria de Regulação e Supervisão da Educação Superior, conforme consta dos processos </w:t>
      </w:r>
      <w:proofErr w:type="spellStart"/>
      <w:r w:rsidRPr="002F65EE">
        <w:rPr>
          <w:rFonts w:ascii="Times New Roman" w:hAnsi="Times New Roman" w:cs="Times New Roman"/>
        </w:rPr>
        <w:t>e-MEC</w:t>
      </w:r>
      <w:proofErr w:type="spellEnd"/>
      <w:r w:rsidRPr="002F65EE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Art. 1° Ficam indeferidos os pedidos de autorização dos cursos superiores de graduação, presencial, conforme planilha anexa, nos termos do disposto no artigo 32, Inciso III, do Decreto nº 5.773, de </w:t>
      </w:r>
      <w:proofErr w:type="gramStart"/>
      <w:r w:rsidRPr="002F65EE">
        <w:rPr>
          <w:rFonts w:ascii="Times New Roman" w:hAnsi="Times New Roman" w:cs="Times New Roman"/>
        </w:rPr>
        <w:t>9</w:t>
      </w:r>
      <w:proofErr w:type="gramEnd"/>
      <w:r w:rsidRPr="002F65EE">
        <w:rPr>
          <w:rFonts w:ascii="Times New Roman" w:hAnsi="Times New Roman" w:cs="Times New Roman"/>
        </w:rPr>
        <w:t xml:space="preserve"> de maio</w:t>
      </w:r>
      <w:r w:rsidR="00970111"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2006, alterado pelo Decreto nº 6.303, de 12 de dezembro de 2007.</w:t>
      </w:r>
    </w:p>
    <w:p w:rsidR="00C6140E" w:rsidRPr="002F65EE" w:rsidRDefault="00C6140E" w:rsidP="002F65E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2° Esta Portaria entra em vigor na data de sua publicação.</w:t>
      </w:r>
    </w:p>
    <w:p w:rsidR="00C6140E" w:rsidRDefault="00C6140E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F72400" w:rsidRPr="00970111" w:rsidRDefault="00F72400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719" w:rsidRDefault="00C6140E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ANEXO</w:t>
      </w:r>
    </w:p>
    <w:p w:rsidR="00246174" w:rsidRDefault="00246174" w:rsidP="00970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174" w:rsidRPr="00AF6CD9" w:rsidRDefault="00246174" w:rsidP="002461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246174" w:rsidRPr="00970111" w:rsidRDefault="00246174" w:rsidP="00246174">
      <w:pPr>
        <w:spacing w:after="0" w:line="240" w:lineRule="auto"/>
        <w:rPr>
          <w:rFonts w:ascii="Times New Roman" w:hAnsi="Times New Roman" w:cs="Times New Roman"/>
          <w:b/>
        </w:rPr>
      </w:pPr>
    </w:p>
    <w:p w:rsidR="00C6140E" w:rsidRPr="00805083" w:rsidRDefault="00F72400" w:rsidP="008050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100/101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C6140E" w:rsidRPr="00805083" w:rsidSect="002F65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00" w:rsidRDefault="00F72400" w:rsidP="00F72400">
      <w:pPr>
        <w:spacing w:after="0" w:line="240" w:lineRule="auto"/>
      </w:pPr>
      <w:r>
        <w:separator/>
      </w:r>
    </w:p>
  </w:endnote>
  <w:endnote w:type="continuationSeparator" w:id="0">
    <w:p w:rsidR="00F72400" w:rsidRDefault="00F72400" w:rsidP="00F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39986"/>
      <w:docPartObj>
        <w:docPartGallery w:val="Page Numbers (Bottom of Page)"/>
        <w:docPartUnique/>
      </w:docPartObj>
    </w:sdtPr>
    <w:sdtContent>
      <w:p w:rsidR="00F72400" w:rsidRDefault="00F724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83">
          <w:rPr>
            <w:noProof/>
          </w:rPr>
          <w:t>7</w:t>
        </w:r>
        <w:r>
          <w:fldChar w:fldCharType="end"/>
        </w:r>
      </w:p>
    </w:sdtContent>
  </w:sdt>
  <w:p w:rsidR="00F72400" w:rsidRDefault="00F724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00" w:rsidRDefault="00F72400" w:rsidP="00F72400">
      <w:pPr>
        <w:spacing w:after="0" w:line="240" w:lineRule="auto"/>
      </w:pPr>
      <w:r>
        <w:separator/>
      </w:r>
    </w:p>
  </w:footnote>
  <w:footnote w:type="continuationSeparator" w:id="0">
    <w:p w:rsidR="00F72400" w:rsidRDefault="00F72400" w:rsidP="00F7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9"/>
    <w:rsid w:val="00246174"/>
    <w:rsid w:val="002F65EE"/>
    <w:rsid w:val="003607FD"/>
    <w:rsid w:val="00805083"/>
    <w:rsid w:val="00845719"/>
    <w:rsid w:val="00970111"/>
    <w:rsid w:val="00C6140E"/>
    <w:rsid w:val="00D442FB"/>
    <w:rsid w:val="00DC51CB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00"/>
  </w:style>
  <w:style w:type="paragraph" w:styleId="Rodap">
    <w:name w:val="footer"/>
    <w:basedOn w:val="Normal"/>
    <w:link w:val="RodapChar"/>
    <w:uiPriority w:val="99"/>
    <w:unhideWhenUsed/>
    <w:rsid w:val="00F7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00"/>
  </w:style>
  <w:style w:type="paragraph" w:styleId="Rodap">
    <w:name w:val="footer"/>
    <w:basedOn w:val="Normal"/>
    <w:link w:val="RodapChar"/>
    <w:uiPriority w:val="99"/>
    <w:unhideWhenUsed/>
    <w:rsid w:val="00F7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2932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2013-01-24T11:02:00Z</dcterms:created>
  <dcterms:modified xsi:type="dcterms:W3CDTF">2013-01-24T11:02:00Z</dcterms:modified>
</cp:coreProperties>
</file>