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A6" w:rsidRPr="00A715FB" w:rsidRDefault="00A715FB" w:rsidP="00A71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5FB">
        <w:rPr>
          <w:rFonts w:ascii="Times New Roman" w:hAnsi="Times New Roman" w:cs="Times New Roman"/>
          <w:b/>
        </w:rPr>
        <w:t>MINISTÉRIO DA EDUCAÇÃO</w:t>
      </w:r>
      <w:bookmarkStart w:id="0" w:name="_GoBack"/>
      <w:bookmarkEnd w:id="0"/>
    </w:p>
    <w:p w:rsidR="008F29A6" w:rsidRPr="00A715FB" w:rsidRDefault="008F29A6" w:rsidP="00A71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5FB">
        <w:rPr>
          <w:rFonts w:ascii="Times New Roman" w:hAnsi="Times New Roman" w:cs="Times New Roman"/>
          <w:b/>
        </w:rPr>
        <w:t>GABINETE DO MINISTRO</w:t>
      </w:r>
    </w:p>
    <w:p w:rsidR="008F29A6" w:rsidRPr="00A715FB" w:rsidRDefault="008F29A6" w:rsidP="00A71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15FB">
        <w:rPr>
          <w:rFonts w:ascii="Times New Roman" w:hAnsi="Times New Roman" w:cs="Times New Roman"/>
          <w:b/>
        </w:rPr>
        <w:t>DESPACHO DO MINISTRO</w:t>
      </w:r>
    </w:p>
    <w:p w:rsidR="008F29A6" w:rsidRPr="00A715FB" w:rsidRDefault="008F29A6" w:rsidP="00A715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5FB">
        <w:rPr>
          <w:rFonts w:ascii="Times New Roman" w:hAnsi="Times New Roman" w:cs="Times New Roman"/>
        </w:rPr>
        <w:t>Em 16 de janeiro de 2013</w:t>
      </w:r>
    </w:p>
    <w:p w:rsidR="008F29A6" w:rsidRDefault="008F29A6" w:rsidP="00A715F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715FB">
        <w:rPr>
          <w:rFonts w:ascii="Times New Roman" w:hAnsi="Times New Roman" w:cs="Times New Roman"/>
        </w:rPr>
        <w:t>Nos termos do art. 2º da Lei nº 9.131, de 24 de novembro de</w:t>
      </w:r>
      <w:r w:rsidR="00A715FB">
        <w:rPr>
          <w:rFonts w:ascii="Times New Roman" w:hAnsi="Times New Roman" w:cs="Times New Roman"/>
        </w:rPr>
        <w:t xml:space="preserve"> </w:t>
      </w:r>
      <w:r w:rsidRPr="00A715FB">
        <w:rPr>
          <w:rFonts w:ascii="Times New Roman" w:hAnsi="Times New Roman" w:cs="Times New Roman"/>
        </w:rPr>
        <w:t>1995, o Ministro de Estado da Educação HOMOLOGA o Parecer</w:t>
      </w:r>
      <w:r w:rsidR="00A715FB">
        <w:rPr>
          <w:rFonts w:ascii="Times New Roman" w:hAnsi="Times New Roman" w:cs="Times New Roman"/>
        </w:rPr>
        <w:t xml:space="preserve"> </w:t>
      </w:r>
      <w:r w:rsidRPr="00A715FB">
        <w:rPr>
          <w:rFonts w:ascii="Times New Roman" w:hAnsi="Times New Roman" w:cs="Times New Roman"/>
        </w:rPr>
        <w:t>CNE/CES nº 253/2012, da Câmara de Educação Superior do Conselho</w:t>
      </w:r>
      <w:r w:rsidR="00A715FB">
        <w:rPr>
          <w:rFonts w:ascii="Times New Roman" w:hAnsi="Times New Roman" w:cs="Times New Roman"/>
        </w:rPr>
        <w:t xml:space="preserve"> </w:t>
      </w:r>
      <w:r w:rsidRPr="00A715FB">
        <w:rPr>
          <w:rFonts w:ascii="Times New Roman" w:hAnsi="Times New Roman" w:cs="Times New Roman"/>
        </w:rPr>
        <w:t>Nacional de Educação, favorável à convalidação dos estudos e</w:t>
      </w:r>
      <w:r w:rsidR="00A715FB">
        <w:rPr>
          <w:rFonts w:ascii="Times New Roman" w:hAnsi="Times New Roman" w:cs="Times New Roman"/>
        </w:rPr>
        <w:t xml:space="preserve"> </w:t>
      </w:r>
      <w:r w:rsidRPr="00A715FB">
        <w:rPr>
          <w:rFonts w:ascii="Times New Roman" w:hAnsi="Times New Roman" w:cs="Times New Roman"/>
        </w:rPr>
        <w:t>à validação nacional do título de Mestre obtido no curso de Mestrado</w:t>
      </w:r>
      <w:r w:rsidR="00A715FB">
        <w:rPr>
          <w:rFonts w:ascii="Times New Roman" w:hAnsi="Times New Roman" w:cs="Times New Roman"/>
        </w:rPr>
        <w:t xml:space="preserve"> </w:t>
      </w:r>
      <w:r w:rsidRPr="00A715FB">
        <w:rPr>
          <w:rFonts w:ascii="Times New Roman" w:hAnsi="Times New Roman" w:cs="Times New Roman"/>
        </w:rPr>
        <w:t>em Automação Industrial, ministrado pela Universidade do Estado de</w:t>
      </w:r>
      <w:r w:rsidR="00A715FB">
        <w:rPr>
          <w:rFonts w:ascii="Times New Roman" w:hAnsi="Times New Roman" w:cs="Times New Roman"/>
        </w:rPr>
        <w:t xml:space="preserve"> </w:t>
      </w:r>
      <w:r w:rsidRPr="00A715FB">
        <w:rPr>
          <w:rFonts w:ascii="Times New Roman" w:hAnsi="Times New Roman" w:cs="Times New Roman"/>
        </w:rPr>
        <w:t>Santa Catarina, com sede no município de Florianópolis, no Estado</w:t>
      </w:r>
      <w:r w:rsidR="00A715FB">
        <w:rPr>
          <w:rFonts w:ascii="Times New Roman" w:hAnsi="Times New Roman" w:cs="Times New Roman"/>
        </w:rPr>
        <w:t xml:space="preserve"> </w:t>
      </w:r>
      <w:r w:rsidRPr="00A715FB">
        <w:rPr>
          <w:rFonts w:ascii="Times New Roman" w:hAnsi="Times New Roman" w:cs="Times New Roman"/>
        </w:rPr>
        <w:t>de Santa Catarina, pelos 16 (dezesseis) alunos relacionados abaixo,</w:t>
      </w:r>
      <w:r w:rsidR="00A715FB">
        <w:rPr>
          <w:rFonts w:ascii="Times New Roman" w:hAnsi="Times New Roman" w:cs="Times New Roman"/>
        </w:rPr>
        <w:t xml:space="preserve"> </w:t>
      </w:r>
      <w:r w:rsidRPr="00A715FB">
        <w:rPr>
          <w:rFonts w:ascii="Times New Roman" w:hAnsi="Times New Roman" w:cs="Times New Roman"/>
        </w:rPr>
        <w:t>conforme consta do Processo nº 23001.000084/2011-38.</w:t>
      </w:r>
    </w:p>
    <w:p w:rsidR="00A715FB" w:rsidRDefault="00A715FB" w:rsidP="00A715F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000"/>
      </w:tblGrid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3969" w:type="dxa"/>
          </w:tcPr>
          <w:p w:rsidR="00A715FB" w:rsidRPr="00A715FB" w:rsidRDefault="00A715FB" w:rsidP="00A71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5FB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4000" w:type="dxa"/>
          </w:tcPr>
          <w:p w:rsidR="00A715FB" w:rsidRPr="00A715FB" w:rsidRDefault="00A715FB" w:rsidP="00A71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5FB">
              <w:rPr>
                <w:rFonts w:ascii="Times New Roman" w:hAnsi="Times New Roman" w:cs="Times New Roman"/>
                <w:b/>
              </w:rPr>
              <w:t>CÉDULA DE IDENTIDADE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A71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 xml:space="preserve">Adilson José </w:t>
            </w:r>
            <w:proofErr w:type="spellStart"/>
            <w:r w:rsidRPr="00A715FB">
              <w:rPr>
                <w:rFonts w:ascii="Times New Roman" w:hAnsi="Times New Roman" w:cs="Times New Roman"/>
              </w:rPr>
              <w:t>Zipf</w:t>
            </w:r>
            <w:proofErr w:type="spellEnd"/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15FB">
              <w:rPr>
                <w:rFonts w:ascii="Times New Roman" w:hAnsi="Times New Roman" w:cs="Times New Roman"/>
              </w:rPr>
              <w:t>19/2.442.</w:t>
            </w:r>
            <w:proofErr w:type="gramEnd"/>
            <w:r w:rsidRPr="00A715FB">
              <w:rPr>
                <w:rFonts w:ascii="Times New Roman" w:hAnsi="Times New Roman" w:cs="Times New Roman"/>
              </w:rPr>
              <w:t>427 SSP/SC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 xml:space="preserve">Adriano de Andrade </w:t>
            </w:r>
            <w:proofErr w:type="spellStart"/>
            <w:r w:rsidRPr="00A715FB">
              <w:rPr>
                <w:rFonts w:ascii="Times New Roman" w:hAnsi="Times New Roman" w:cs="Times New Roman"/>
              </w:rPr>
              <w:t>Bresolin</w:t>
            </w:r>
            <w:proofErr w:type="spellEnd"/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4.354.553-1 SSP/PR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Agnaldo Réus de Medeiros Rodrigues</w:t>
            </w:r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2.474.632 SSP/SC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 xml:space="preserve">Ângelo </w:t>
            </w:r>
            <w:proofErr w:type="spellStart"/>
            <w:r w:rsidRPr="00A715FB">
              <w:rPr>
                <w:rFonts w:ascii="Times New Roman" w:hAnsi="Times New Roman" w:cs="Times New Roman"/>
              </w:rPr>
              <w:t>Luis</w:t>
            </w:r>
            <w:proofErr w:type="spellEnd"/>
            <w:r w:rsidRPr="00A71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5FB">
              <w:rPr>
                <w:rFonts w:ascii="Times New Roman" w:hAnsi="Times New Roman" w:cs="Times New Roman"/>
              </w:rPr>
              <w:t>Pagliosa</w:t>
            </w:r>
            <w:proofErr w:type="spellEnd"/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8/R 3.042.839 SSP/SC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César Augusto Pereira Silvestre</w:t>
            </w:r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1/R 920.052 SSP/SC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 xml:space="preserve">Cláudio Von </w:t>
            </w:r>
            <w:proofErr w:type="spellStart"/>
            <w:r w:rsidRPr="00A715FB">
              <w:rPr>
                <w:rFonts w:ascii="Times New Roman" w:hAnsi="Times New Roman" w:cs="Times New Roman"/>
              </w:rPr>
              <w:t>Dokonal</w:t>
            </w:r>
            <w:proofErr w:type="spellEnd"/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2/R 1.138.448 SSP/SC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Dirceu José Soncini</w:t>
            </w:r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4.131.098-7 SSP/PR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Edson Luiz Schultz</w:t>
            </w:r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4.131.098-7 SSP/PR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Fábio Eduardo Rosa</w:t>
            </w:r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2/R 2.511.582 SSP/SC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 xml:space="preserve">Fabrício </w:t>
            </w:r>
            <w:proofErr w:type="spellStart"/>
            <w:r w:rsidRPr="00A715FB">
              <w:rPr>
                <w:rFonts w:ascii="Times New Roman" w:hAnsi="Times New Roman" w:cs="Times New Roman"/>
              </w:rPr>
              <w:t>Noveletto</w:t>
            </w:r>
            <w:proofErr w:type="spellEnd"/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8/R 2.266.170 SSP/SC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 xml:space="preserve">Joselito Anastácio </w:t>
            </w:r>
            <w:proofErr w:type="spellStart"/>
            <w:r w:rsidRPr="00A715FB">
              <w:rPr>
                <w:rFonts w:ascii="Times New Roman" w:hAnsi="Times New Roman" w:cs="Times New Roman"/>
              </w:rPr>
              <w:t>Heerdt</w:t>
            </w:r>
            <w:proofErr w:type="spellEnd"/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1.742.868 SSP/SC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Jonas Pereira</w:t>
            </w:r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12/R 2.651.340 SSP/SC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 xml:space="preserve">Luiz Von </w:t>
            </w:r>
            <w:proofErr w:type="spellStart"/>
            <w:r w:rsidRPr="00A715FB">
              <w:rPr>
                <w:rFonts w:ascii="Times New Roman" w:hAnsi="Times New Roman" w:cs="Times New Roman"/>
              </w:rPr>
              <w:t>Dokonal</w:t>
            </w:r>
            <w:proofErr w:type="spellEnd"/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2/R 1.861.205 SSI/SC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Marco Aurélio Corrêa</w:t>
            </w:r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2/R 1.868.343 SSP/SC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 xml:space="preserve">Marco </w:t>
            </w:r>
            <w:proofErr w:type="spellStart"/>
            <w:r w:rsidRPr="00A715FB">
              <w:rPr>
                <w:rFonts w:ascii="Times New Roman" w:hAnsi="Times New Roman" w:cs="Times New Roman"/>
              </w:rPr>
              <w:t>Fergütz</w:t>
            </w:r>
            <w:proofErr w:type="spellEnd"/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1.984.779 SSP/SC</w:t>
            </w:r>
          </w:p>
        </w:tc>
      </w:tr>
      <w:tr w:rsidR="00A715FB" w:rsidTr="00A715FB">
        <w:tc>
          <w:tcPr>
            <w:tcW w:w="675" w:type="dxa"/>
          </w:tcPr>
          <w:p w:rsidR="00A715FB" w:rsidRDefault="00A715FB" w:rsidP="00A71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A715FB" w:rsidRDefault="00A715FB" w:rsidP="00A715FB">
            <w:pPr>
              <w:ind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 xml:space="preserve">Stefano Romeu </w:t>
            </w:r>
            <w:proofErr w:type="spellStart"/>
            <w:r w:rsidRPr="00A715FB">
              <w:rPr>
                <w:rFonts w:ascii="Times New Roman" w:hAnsi="Times New Roman" w:cs="Times New Roman"/>
              </w:rPr>
              <w:t>Zeplin</w:t>
            </w:r>
            <w:proofErr w:type="spellEnd"/>
          </w:p>
        </w:tc>
        <w:tc>
          <w:tcPr>
            <w:tcW w:w="4000" w:type="dxa"/>
          </w:tcPr>
          <w:p w:rsidR="00A715FB" w:rsidRDefault="00A715FB" w:rsidP="00A715FB">
            <w:pPr>
              <w:ind w:left="1026" w:right="-817"/>
              <w:jc w:val="both"/>
              <w:rPr>
                <w:rFonts w:ascii="Times New Roman" w:hAnsi="Times New Roman" w:cs="Times New Roman"/>
              </w:rPr>
            </w:pPr>
            <w:r w:rsidRPr="00A715FB">
              <w:rPr>
                <w:rFonts w:ascii="Times New Roman" w:hAnsi="Times New Roman" w:cs="Times New Roman"/>
              </w:rPr>
              <w:t>3/R 1.482.672 SSP/SC</w:t>
            </w:r>
          </w:p>
        </w:tc>
      </w:tr>
    </w:tbl>
    <w:p w:rsidR="00A715FB" w:rsidRPr="00A715FB" w:rsidRDefault="00A715FB" w:rsidP="00A715F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442FB" w:rsidRDefault="008F29A6" w:rsidP="00A715FB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  <w:r w:rsidRPr="00A715FB">
        <w:rPr>
          <w:rFonts w:ascii="Times New Roman" w:hAnsi="Times New Roman" w:cs="Times New Roman"/>
          <w:b/>
        </w:rPr>
        <w:t>ALOIZIO MERCADANTE OLIVA</w:t>
      </w:r>
    </w:p>
    <w:p w:rsidR="008F379E" w:rsidRDefault="008F379E" w:rsidP="00A715FB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</w:p>
    <w:p w:rsidR="008F379E" w:rsidRPr="00AF6CD9" w:rsidRDefault="008F379E" w:rsidP="008F379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17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sectPr w:rsidR="008F379E" w:rsidRPr="00AF6CD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9E" w:rsidRDefault="008F379E" w:rsidP="008F379E">
      <w:pPr>
        <w:spacing w:after="0" w:line="240" w:lineRule="auto"/>
      </w:pPr>
      <w:r>
        <w:separator/>
      </w:r>
    </w:p>
  </w:endnote>
  <w:endnote w:type="continuationSeparator" w:id="0">
    <w:p w:rsidR="008F379E" w:rsidRDefault="008F379E" w:rsidP="008F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811314"/>
      <w:docPartObj>
        <w:docPartGallery w:val="Page Numbers (Bottom of Page)"/>
        <w:docPartUnique/>
      </w:docPartObj>
    </w:sdtPr>
    <w:sdtEndPr/>
    <w:sdtContent>
      <w:p w:rsidR="008F379E" w:rsidRDefault="008F37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18F">
          <w:rPr>
            <w:noProof/>
          </w:rPr>
          <w:t>1</w:t>
        </w:r>
        <w:r>
          <w:fldChar w:fldCharType="end"/>
        </w:r>
      </w:p>
    </w:sdtContent>
  </w:sdt>
  <w:p w:rsidR="008F379E" w:rsidRDefault="008F3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9E" w:rsidRDefault="008F379E" w:rsidP="008F379E">
      <w:pPr>
        <w:spacing w:after="0" w:line="240" w:lineRule="auto"/>
      </w:pPr>
      <w:r>
        <w:separator/>
      </w:r>
    </w:p>
  </w:footnote>
  <w:footnote w:type="continuationSeparator" w:id="0">
    <w:p w:rsidR="008F379E" w:rsidRDefault="008F379E" w:rsidP="008F3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A6"/>
    <w:rsid w:val="003607FD"/>
    <w:rsid w:val="008F29A6"/>
    <w:rsid w:val="008F379E"/>
    <w:rsid w:val="00A715FB"/>
    <w:rsid w:val="00BC718F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F3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79E"/>
  </w:style>
  <w:style w:type="paragraph" w:styleId="Rodap">
    <w:name w:val="footer"/>
    <w:basedOn w:val="Normal"/>
    <w:link w:val="RodapChar"/>
    <w:uiPriority w:val="99"/>
    <w:unhideWhenUsed/>
    <w:rsid w:val="008F3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F3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79E"/>
  </w:style>
  <w:style w:type="paragraph" w:styleId="Rodap">
    <w:name w:val="footer"/>
    <w:basedOn w:val="Normal"/>
    <w:link w:val="RodapChar"/>
    <w:uiPriority w:val="99"/>
    <w:unhideWhenUsed/>
    <w:rsid w:val="008F3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6C9C-105A-4A7F-B7BD-D44E787B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2013-01-17T10:15:00Z</dcterms:created>
  <dcterms:modified xsi:type="dcterms:W3CDTF">2013-01-17T10:16:00Z</dcterms:modified>
</cp:coreProperties>
</file>