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MINISTÉRIO DA EDUCAÇÃO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SECRETARIA DE EDUCAÇÃO SUPERIOR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PORTARIA CONJUNTA N</w:t>
      </w:r>
      <w:r w:rsidR="00DB185F">
        <w:rPr>
          <w:rFonts w:ascii="Times New Roman" w:hAnsi="Times New Roman" w:cs="Times New Roman"/>
          <w:b/>
        </w:rPr>
        <w:t>º</w:t>
      </w:r>
      <w:r w:rsidRPr="00C45FFC">
        <w:rPr>
          <w:rFonts w:ascii="Times New Roman" w:hAnsi="Times New Roman" w:cs="Times New Roman"/>
          <w:b/>
        </w:rPr>
        <w:t xml:space="preserve"> 77, DE 31 DE DEZEMBRO DE </w:t>
      </w:r>
      <w:proofErr w:type="gramStart"/>
      <w:r w:rsidRPr="00C45FFC">
        <w:rPr>
          <w:rFonts w:ascii="Times New Roman" w:hAnsi="Times New Roman" w:cs="Times New Roman"/>
          <w:b/>
        </w:rPr>
        <w:t>2012</w:t>
      </w:r>
      <w:proofErr w:type="gramEnd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MEC/MCTI apresentadas na reunião ordinária de 22 de novembro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2012 e pelos fundamentos da Informação nº 46/2012-CGLNES/GAB/</w:t>
      </w:r>
      <w:proofErr w:type="spellStart"/>
      <w:proofErr w:type="gramStart"/>
      <w:r w:rsidRPr="00C45FFC">
        <w:rPr>
          <w:rFonts w:ascii="Times New Roman" w:hAnsi="Times New Roman" w:cs="Times New Roman"/>
        </w:rPr>
        <w:t>SESu</w:t>
      </w:r>
      <w:proofErr w:type="spellEnd"/>
      <w:proofErr w:type="gramEnd"/>
      <w:r w:rsidRPr="00C45FFC">
        <w:rPr>
          <w:rFonts w:ascii="Times New Roman" w:hAnsi="Times New Roman" w:cs="Times New Roman"/>
        </w:rPr>
        <w:t>/MEC, resolvem: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1º. Fica credenciada, pelo período de 02 (dois) anos 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Fundação de Apoio à Pesquisa e à Extensão - FUNAPE, CNPJ nº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09.185.398/0001-52, como Fundação de Apoio à Universidade Federal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Paraíba - UFPB, processo nº 23000.007919/2012-71.</w:t>
      </w:r>
      <w:r>
        <w:rPr>
          <w:rFonts w:ascii="Times New Roman" w:hAnsi="Times New Roman" w:cs="Times New Roman"/>
        </w:rPr>
        <w:t xml:space="preserve"> 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2º. Esta Portaria entra em vigor na data de sua publicação.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AMARO HENRIQUE PESSOA LINS</w:t>
      </w:r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CARLOS AFONSO NOBRE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PORTARIA CONJUNTA N</w:t>
      </w:r>
      <w:r w:rsidR="00DB185F">
        <w:rPr>
          <w:rFonts w:ascii="Times New Roman" w:hAnsi="Times New Roman" w:cs="Times New Roman"/>
          <w:b/>
        </w:rPr>
        <w:t>º</w:t>
      </w:r>
      <w:r w:rsidRPr="00C45FFC">
        <w:rPr>
          <w:rFonts w:ascii="Times New Roman" w:hAnsi="Times New Roman" w:cs="Times New Roman"/>
          <w:b/>
        </w:rPr>
        <w:t xml:space="preserve"> 78, DE 31 DE DEZEMBRO DE </w:t>
      </w:r>
      <w:proofErr w:type="gramStart"/>
      <w:r w:rsidRPr="00C45FFC">
        <w:rPr>
          <w:rFonts w:ascii="Times New Roman" w:hAnsi="Times New Roman" w:cs="Times New Roman"/>
          <w:b/>
        </w:rPr>
        <w:t>2012</w:t>
      </w:r>
      <w:proofErr w:type="gramEnd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dezembro de 1994 e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2010, com base nas recomendações do Grupo de Apoio Técnico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MEC/MCTI apresentadas na reunião ordinária de 22 de novembro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2012 e pelos fundamentos da Informação nº 47/2012-CGLNES/GAB/</w:t>
      </w:r>
      <w:proofErr w:type="spellStart"/>
      <w:proofErr w:type="gramStart"/>
      <w:r w:rsidRPr="00C45FFC">
        <w:rPr>
          <w:rFonts w:ascii="Times New Roman" w:hAnsi="Times New Roman" w:cs="Times New Roman"/>
        </w:rPr>
        <w:t>SESu</w:t>
      </w:r>
      <w:proofErr w:type="spellEnd"/>
      <w:proofErr w:type="gramEnd"/>
      <w:r w:rsidRPr="00C45FFC">
        <w:rPr>
          <w:rFonts w:ascii="Times New Roman" w:hAnsi="Times New Roman" w:cs="Times New Roman"/>
        </w:rPr>
        <w:t>/MEC, resolvem: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1º. Fica credenciada, pelo período de 02 (dois) anos 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Fundação Marechal Roberto </w:t>
      </w:r>
      <w:proofErr w:type="spellStart"/>
      <w:r w:rsidRPr="00C45FFC">
        <w:rPr>
          <w:rFonts w:ascii="Times New Roman" w:hAnsi="Times New Roman" w:cs="Times New Roman"/>
        </w:rPr>
        <w:t>Trompowsky</w:t>
      </w:r>
      <w:proofErr w:type="spellEnd"/>
      <w:r w:rsidRPr="00C45FFC">
        <w:rPr>
          <w:rFonts w:ascii="Times New Roman" w:hAnsi="Times New Roman" w:cs="Times New Roman"/>
        </w:rPr>
        <w:t xml:space="preserve"> Leitão e Almeida </w:t>
      </w:r>
      <w:r>
        <w:rPr>
          <w:rFonts w:ascii="Times New Roman" w:hAnsi="Times New Roman" w:cs="Times New Roman"/>
        </w:rPr>
        <w:t>–</w:t>
      </w:r>
      <w:r w:rsidRPr="00C45FFC">
        <w:rPr>
          <w:rFonts w:ascii="Times New Roman" w:hAnsi="Times New Roman" w:cs="Times New Roman"/>
        </w:rPr>
        <w:t xml:space="preserve"> FUNDAÇÃO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TROMPOWSKY, CNPJ nº 07.815.873/0001-00, como Fundação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Apoio Departamento de Ensino e Pesquisa do Comando 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Exército - </w:t>
      </w:r>
      <w:proofErr w:type="spellStart"/>
      <w:proofErr w:type="gramStart"/>
      <w:r w:rsidRPr="00C45FFC">
        <w:rPr>
          <w:rFonts w:ascii="Times New Roman" w:hAnsi="Times New Roman" w:cs="Times New Roman"/>
        </w:rPr>
        <w:t>DECEx</w:t>
      </w:r>
      <w:proofErr w:type="spellEnd"/>
      <w:proofErr w:type="gramEnd"/>
      <w:r w:rsidRPr="00C45FFC">
        <w:rPr>
          <w:rFonts w:ascii="Times New Roman" w:hAnsi="Times New Roman" w:cs="Times New Roman"/>
        </w:rPr>
        <w:t>, processo nº 23000.009342/2012-32.</w:t>
      </w:r>
      <w:r>
        <w:rPr>
          <w:rFonts w:ascii="Times New Roman" w:hAnsi="Times New Roman" w:cs="Times New Roman"/>
        </w:rPr>
        <w:t xml:space="preserve"> 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2º. Esta Portaria entra em vigor na data de sua publicação.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AMARO HENRIQUE PESSOA LINS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CARLOS AFONSO NOBRE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PORTARIA CONJUNTA N</w:t>
      </w:r>
      <w:r w:rsidR="00DB185F">
        <w:rPr>
          <w:rFonts w:ascii="Times New Roman" w:hAnsi="Times New Roman" w:cs="Times New Roman"/>
          <w:b/>
        </w:rPr>
        <w:t>º</w:t>
      </w:r>
      <w:r w:rsidRPr="00C45FFC">
        <w:rPr>
          <w:rFonts w:ascii="Times New Roman" w:hAnsi="Times New Roman" w:cs="Times New Roman"/>
          <w:b/>
        </w:rPr>
        <w:t xml:space="preserve"> 79, DE 31 DE DEZEMBRO DE </w:t>
      </w:r>
      <w:proofErr w:type="gramStart"/>
      <w:r w:rsidRPr="00C45FFC">
        <w:rPr>
          <w:rFonts w:ascii="Times New Roman" w:hAnsi="Times New Roman" w:cs="Times New Roman"/>
          <w:b/>
        </w:rPr>
        <w:t>2012</w:t>
      </w:r>
      <w:proofErr w:type="gramEnd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apresentadas na reunião extraordinária de 22 de novembro de 2012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e pelos fundamentos da Informação nº 48/2012-CGLNES/GAB/</w:t>
      </w:r>
      <w:proofErr w:type="spellStart"/>
      <w:proofErr w:type="gramStart"/>
      <w:r w:rsidRPr="00C45FFC">
        <w:rPr>
          <w:rFonts w:ascii="Times New Roman" w:hAnsi="Times New Roman" w:cs="Times New Roman"/>
        </w:rPr>
        <w:t>SESu</w:t>
      </w:r>
      <w:proofErr w:type="spellEnd"/>
      <w:proofErr w:type="gramEnd"/>
      <w:r w:rsidRPr="00C45FFC">
        <w:rPr>
          <w:rFonts w:ascii="Times New Roman" w:hAnsi="Times New Roman" w:cs="Times New Roman"/>
        </w:rPr>
        <w:t>/MEC, resolvem: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Fundação de Amparo à Pesquisa e Extensão Universitária - FAPEU,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CNPJ nº 83.476.911/0001-17, para atuar como Fundação de Apoio ao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Instituto Federal Santa Catarina - IF-SC, processo nº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23000.015806/2012-40.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2º. Esta Portaria entra em vigor na data de sua publicação.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AMARO HENRIQUE PESSOA LINS</w:t>
      </w:r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CARLOS AFONSO NOBRE</w:t>
      </w:r>
    </w:p>
    <w:p w:rsidR="00DB185F" w:rsidRDefault="00DB185F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5F" w:rsidRPr="00DB185F" w:rsidRDefault="00DB185F" w:rsidP="00DB18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185F">
        <w:rPr>
          <w:rFonts w:ascii="Times New Roman" w:hAnsi="Times New Roman" w:cs="Times New Roman"/>
          <w:b/>
          <w:i/>
        </w:rPr>
        <w:t xml:space="preserve">(Publicação no DOU n.º 02, de 03.01.2013, Seção 1, página </w:t>
      </w:r>
      <w:proofErr w:type="gramStart"/>
      <w:r w:rsidRPr="00DB185F">
        <w:rPr>
          <w:rFonts w:ascii="Times New Roman" w:hAnsi="Times New Roman" w:cs="Times New Roman"/>
          <w:b/>
          <w:i/>
        </w:rPr>
        <w:t>121)</w:t>
      </w:r>
      <w:proofErr w:type="gramEnd"/>
    </w:p>
    <w:p w:rsidR="00DB185F" w:rsidRPr="00C45FFC" w:rsidRDefault="00DB185F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Default="00C4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lastRenderedPageBreak/>
        <w:t>MINISTÉRIO DA EDUCAÇÃO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SECRETARIA DE EDUCAÇÃO SUPERIOR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PORTARIA CONJUNTA N</w:t>
      </w:r>
      <w:r w:rsidR="00DB185F">
        <w:rPr>
          <w:rFonts w:ascii="Times New Roman" w:hAnsi="Times New Roman" w:cs="Times New Roman"/>
          <w:b/>
        </w:rPr>
        <w:t>º</w:t>
      </w:r>
      <w:r w:rsidRPr="00C45FFC">
        <w:rPr>
          <w:rFonts w:ascii="Times New Roman" w:hAnsi="Times New Roman" w:cs="Times New Roman"/>
          <w:b/>
        </w:rPr>
        <w:t xml:space="preserve"> 80, DE 31 DE DEZEMBRO DE </w:t>
      </w:r>
      <w:proofErr w:type="gramStart"/>
      <w:r w:rsidRPr="00C45FFC">
        <w:rPr>
          <w:rFonts w:ascii="Times New Roman" w:hAnsi="Times New Roman" w:cs="Times New Roman"/>
          <w:b/>
        </w:rPr>
        <w:t>2012</w:t>
      </w:r>
      <w:proofErr w:type="gramEnd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apresentadas na reunião ordinária de 22 de novembro de 2012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pelos fundamentos da Informação nº 45/2012-CGLNES/GAB/</w:t>
      </w:r>
      <w:proofErr w:type="spellStart"/>
      <w:proofErr w:type="gramStart"/>
      <w:r w:rsidRPr="00C45FFC">
        <w:rPr>
          <w:rFonts w:ascii="Times New Roman" w:hAnsi="Times New Roman" w:cs="Times New Roman"/>
        </w:rPr>
        <w:t>SESu</w:t>
      </w:r>
      <w:proofErr w:type="spellEnd"/>
      <w:proofErr w:type="gramEnd"/>
      <w:r w:rsidRPr="00C45FFC">
        <w:rPr>
          <w:rFonts w:ascii="Times New Roman" w:hAnsi="Times New Roman" w:cs="Times New Roman"/>
        </w:rPr>
        <w:t>/MEC, resolvem: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Fundação de Apoio ao Desenvolvimento da UFPE - FADE/UFPE,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CNPJ nº 11.735.586/0001-59, para atuar como Fundação de Apoio da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Fundação Joaquim Nabuco - FUNDAJ, processo nº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23000.017430/2012-16.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2º. A validade da autorização fica condicionada à apresentação,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em 30 (trinta)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Portaria, de documento que comprove a homologação, pelo Conselho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Deliberativo, órgão colegiado superior da instituição apoiada, das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declarações apresentadas ad referendum.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3º. Esta Portaria entra em vigor na data de sua publicação.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AMARO HENRIQUE PESSOA LINS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CARLOS AFONSO NOBRE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PORTARIA CONJUNTA N</w:t>
      </w:r>
      <w:r w:rsidR="00DB185F">
        <w:rPr>
          <w:rFonts w:ascii="Times New Roman" w:hAnsi="Times New Roman" w:cs="Times New Roman"/>
          <w:b/>
        </w:rPr>
        <w:t>º</w:t>
      </w:r>
      <w:r w:rsidRPr="00C45FFC">
        <w:rPr>
          <w:rFonts w:ascii="Times New Roman" w:hAnsi="Times New Roman" w:cs="Times New Roman"/>
          <w:b/>
        </w:rPr>
        <w:t xml:space="preserve"> 81, DE 31 DE DEZEMBRO DE </w:t>
      </w:r>
      <w:proofErr w:type="gramStart"/>
      <w:r w:rsidRPr="00C45FFC">
        <w:rPr>
          <w:rFonts w:ascii="Times New Roman" w:hAnsi="Times New Roman" w:cs="Times New Roman"/>
          <w:b/>
        </w:rPr>
        <w:t>2012</w:t>
      </w:r>
      <w:proofErr w:type="gramEnd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CIÊNCIA, TECNOLOGIA E INOVAÇÃO, no uso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suas atribuições e considerando as disposições da Lei nº 8.958, de 20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dezembro de 1994, do Decreto nº 7.423, de 31 de dezembro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2010 e da Portaria Interministerial nº 191, de 13 de março de 2012,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 base nas recomendações do Grupo de Apoio Técnico MEC/MCTI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apresentadas na reunião ordinária de 22 de novembro de 2012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pelos fundamentos da Informação nº 49/2012-CGLNES/GAB/</w:t>
      </w:r>
      <w:proofErr w:type="spellStart"/>
      <w:proofErr w:type="gramStart"/>
      <w:r w:rsidRPr="00C45FFC">
        <w:rPr>
          <w:rFonts w:ascii="Times New Roman" w:hAnsi="Times New Roman" w:cs="Times New Roman"/>
        </w:rPr>
        <w:t>SESu</w:t>
      </w:r>
      <w:proofErr w:type="spellEnd"/>
      <w:proofErr w:type="gramEnd"/>
      <w:r w:rsidRPr="00C45FFC">
        <w:rPr>
          <w:rFonts w:ascii="Times New Roman" w:hAnsi="Times New Roman" w:cs="Times New Roman"/>
        </w:rPr>
        <w:t>/MEC, resolvem: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1º. Fica autorizada, pelo período de 01 (um) ano, 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Fundação de Ciência, Aplicações e Tecnologia Espaciais - FUNCATE,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CNPJ nº 51.619.104/0001-10, para atuar como Fundação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Apoio do Instituto de Aeronáutica e Espaço - IAE, processo nº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23000.017051/2012-18.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2º. A validade da autorização fica condicionada à apresentação,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em 30 (trinta) dias, a contar da publicação da presente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Portaria, da aprovação pelo colegiado superior do referido Instituto da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norma que discipline seu relacionamento com a Fundação de Apoio 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declaração do Presidente do Instituto Nacional e Pesquisa Especiais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- INPE, manifestando sua concordância com o referido pedido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autorização.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Art. 3º. Esta Portaria entra em vigor na data de sua publicação.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AMARO HENRIQUE PESSOA LINS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CARLOS AFONSO NOBRE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5F" w:rsidRPr="00DB185F" w:rsidRDefault="00DB185F" w:rsidP="00DB185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185F">
        <w:rPr>
          <w:rFonts w:ascii="Times New Roman" w:hAnsi="Times New Roman" w:cs="Times New Roman"/>
          <w:b/>
          <w:i/>
        </w:rPr>
        <w:t xml:space="preserve">(Publicação no DOU n.º 02, de 03.01.2013, Seção 1, página </w:t>
      </w:r>
      <w:proofErr w:type="gramStart"/>
      <w:r w:rsidRPr="00DB185F">
        <w:rPr>
          <w:rFonts w:ascii="Times New Roman" w:hAnsi="Times New Roman" w:cs="Times New Roman"/>
          <w:b/>
          <w:i/>
        </w:rPr>
        <w:t>121)</w:t>
      </w:r>
      <w:proofErr w:type="gramEnd"/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Default="00C45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SECRETARIA DE REGULAÇÃO E SUPERVISÃO DA EDUCAÇÃO</w:t>
      </w:r>
      <w:r>
        <w:rPr>
          <w:rFonts w:ascii="Times New Roman" w:hAnsi="Times New Roman" w:cs="Times New Roman"/>
          <w:b/>
        </w:rPr>
        <w:t xml:space="preserve"> </w:t>
      </w:r>
      <w:r w:rsidRPr="00C45FFC">
        <w:rPr>
          <w:rFonts w:ascii="Times New Roman" w:hAnsi="Times New Roman" w:cs="Times New Roman"/>
          <w:b/>
        </w:rPr>
        <w:t>SUPERIOR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DESPACHO DO SECRETÁRIO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 xml:space="preserve">Em </w:t>
      </w:r>
      <w:proofErr w:type="gramStart"/>
      <w:r w:rsidRPr="00C45FFC">
        <w:rPr>
          <w:rFonts w:ascii="Times New Roman" w:hAnsi="Times New Roman" w:cs="Times New Roman"/>
          <w:b/>
        </w:rPr>
        <w:t>2</w:t>
      </w:r>
      <w:proofErr w:type="gramEnd"/>
      <w:r w:rsidRPr="00C45FFC">
        <w:rPr>
          <w:rFonts w:ascii="Times New Roman" w:hAnsi="Times New Roman" w:cs="Times New Roman"/>
          <w:b/>
        </w:rPr>
        <w:t xml:space="preserve"> de Janeiro de 2013</w:t>
      </w:r>
    </w:p>
    <w:p w:rsidR="00C45FFC" w:rsidRPr="00C45FFC" w:rsidRDefault="00C45FFC" w:rsidP="00C4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N</w:t>
      </w:r>
      <w:r w:rsidR="00DB185F">
        <w:rPr>
          <w:rFonts w:ascii="Times New Roman" w:hAnsi="Times New Roman" w:cs="Times New Roman"/>
        </w:rPr>
        <w:t>º</w:t>
      </w:r>
      <w:r w:rsidRPr="00C45FFC">
        <w:rPr>
          <w:rFonts w:ascii="Times New Roman" w:hAnsi="Times New Roman" w:cs="Times New Roman"/>
        </w:rPr>
        <w:t xml:space="preserve"> 1 - INTERESSADOS: INSTITUIÇÕES DE EDUCAÇÃO SUPERIOR ATINGIDAS PELO DESPACHO</w:t>
      </w:r>
      <w:r w:rsidR="00DB185F"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SERES/MEC N</w:t>
      </w:r>
      <w:r w:rsidR="00DB185F">
        <w:rPr>
          <w:rFonts w:ascii="Times New Roman" w:hAnsi="Times New Roman" w:cs="Times New Roman"/>
        </w:rPr>
        <w:t>º</w:t>
      </w:r>
      <w:r w:rsidRPr="00C45FFC">
        <w:rPr>
          <w:rFonts w:ascii="Times New Roman" w:hAnsi="Times New Roman" w:cs="Times New Roman"/>
        </w:rPr>
        <w:t xml:space="preserve"> 192, DE 18 DE DEZEMBRO DE 2012, PUBLICADO NO DIÁRIO OFICIAL</w:t>
      </w:r>
      <w:r w:rsidR="00DB185F"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UNIÃO EM 19 DE DEZEMBRO DE 2012.</w:t>
      </w:r>
    </w:p>
    <w:p w:rsidR="00C45FFC" w:rsidRPr="00C45FFC" w:rsidRDefault="00C45FFC" w:rsidP="00DB18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da competência que lhe foi conferida pelo Decreto n° 7.690, de </w:t>
      </w:r>
      <w:proofErr w:type="gramStart"/>
      <w:r w:rsidRPr="00C45FFC">
        <w:rPr>
          <w:rFonts w:ascii="Times New Roman" w:hAnsi="Times New Roman" w:cs="Times New Roman"/>
        </w:rPr>
        <w:t>2</w:t>
      </w:r>
      <w:proofErr w:type="gramEnd"/>
      <w:r w:rsidRPr="00C45FFC">
        <w:rPr>
          <w:rFonts w:ascii="Times New Roman" w:hAnsi="Times New Roman" w:cs="Times New Roman"/>
        </w:rPr>
        <w:t xml:space="preserve"> de março de 2012, acolhendo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integralmente a Nota Técnica SERES-MEC nº 958, de 28 de dezembro de 2012, inclusive como sua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motivação, nos termos do art. 50 da Lei n.º 9.784, de 1996, §1º, torna públicos os critérios para a revisão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medida imposta pelo Despacho SERES/MEC n° 192, de 2012, aos cursos que obtiveram resultado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insatisfatório nos CPC referentes aos anos de 2008 e 2011, mas que apresentaram tendência de melhora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em seus indicadores contínuos.</w:t>
      </w:r>
    </w:p>
    <w:p w:rsidR="00C45FFC" w:rsidRPr="00C45FFC" w:rsidRDefault="00C45FFC" w:rsidP="00DB18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Caberá à Diretoria de Política Regulatória desta Secretaria a análise do enquadramento das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Instituições nos critérios descritos no Anexo desta Portaria, bem como seu reflexo no Sistema </w:t>
      </w:r>
      <w:proofErr w:type="spellStart"/>
      <w:r w:rsidRPr="00C45FFC">
        <w:rPr>
          <w:rFonts w:ascii="Times New Roman" w:hAnsi="Times New Roman" w:cs="Times New Roman"/>
        </w:rPr>
        <w:t>e-MEC</w:t>
      </w:r>
      <w:proofErr w:type="spellEnd"/>
      <w:r w:rsidRPr="00C45FFC">
        <w:rPr>
          <w:rFonts w:ascii="Times New Roman" w:hAnsi="Times New Roman" w:cs="Times New Roman"/>
        </w:rPr>
        <w:t>.</w:t>
      </w:r>
    </w:p>
    <w:p w:rsidR="00C45FFC" w:rsidRPr="00DB185F" w:rsidRDefault="00C45FFC" w:rsidP="00DB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85F">
        <w:rPr>
          <w:rFonts w:ascii="Times New Roman" w:hAnsi="Times New Roman" w:cs="Times New Roman"/>
          <w:b/>
        </w:rPr>
        <w:t>JORGE RODRIGO ARAÚJO MESSIAS</w:t>
      </w:r>
    </w:p>
    <w:p w:rsidR="00C45FFC" w:rsidRPr="00DB185F" w:rsidRDefault="00C45FFC" w:rsidP="00DB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DB185F" w:rsidRDefault="00C45FFC" w:rsidP="00DB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85F">
        <w:rPr>
          <w:rFonts w:ascii="Times New Roman" w:hAnsi="Times New Roman" w:cs="Times New Roman"/>
          <w:b/>
        </w:rPr>
        <w:t>ANEXO</w:t>
      </w:r>
    </w:p>
    <w:p w:rsidR="00C45FFC" w:rsidRPr="00C45FFC" w:rsidRDefault="00C45FFC" w:rsidP="00C45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FFC" w:rsidRDefault="00C45FFC" w:rsidP="00DB18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NOTA TÉCNICA N</w:t>
      </w:r>
      <w:r w:rsidR="00DB185F">
        <w:rPr>
          <w:rFonts w:ascii="Times New Roman" w:hAnsi="Times New Roman" w:cs="Times New Roman"/>
        </w:rPr>
        <w:t>º</w:t>
      </w:r>
      <w:r w:rsidRPr="00C45FFC">
        <w:rPr>
          <w:rFonts w:ascii="Times New Roman" w:hAnsi="Times New Roman" w:cs="Times New Roman"/>
        </w:rPr>
        <w:t xml:space="preserve"> 958/2012-SERES/MEC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INTERESSADOS: Instituições de Educação Superior atingidas pelo Despacho SERES/MEC n°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192, de 18 de dezembro de 2012, publicado no Diário Oficial da União em 19 de dezembro de 2012.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I - OBJETO DA NOTA TÉCNICA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1.</w:t>
      </w:r>
      <w:proofErr w:type="gramEnd"/>
      <w:r w:rsidRPr="00C45FFC">
        <w:rPr>
          <w:rFonts w:ascii="Times New Roman" w:hAnsi="Times New Roman" w:cs="Times New Roman"/>
        </w:rPr>
        <w:t>A presente Nota Técnica se propõe a apresentar os critérios fixados pela Secretaria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Regulação e Supervisão da Educação Superior para a revisão da medida imposta pelo Despacho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SERES/MEC n° 192, de 2012, aos cursos que obtiveram resultado insatisfatório nos CPC referentes aos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anos de 2008 e 2011, mas que apresentaram tendência de melhora em seus indicadores contínuos.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II - RELATÓRIO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2.</w:t>
      </w:r>
      <w:proofErr w:type="gramEnd"/>
      <w:r w:rsidRPr="00C45FFC">
        <w:rPr>
          <w:rFonts w:ascii="Times New Roman" w:hAnsi="Times New Roman" w:cs="Times New Roman"/>
        </w:rPr>
        <w:t>O Despacho n° 192, de 18 de dezembro de 2012, publicado no Diário Oficial da União em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16 de dezembro de 2012, aplicou medida cautelar de suspensão de ingresso às Instituições de Educação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Superior (IES) cujos cursos de graduação obtiveram resultados insatisfatórios no CPC </w:t>
      </w:r>
      <w:r>
        <w:rPr>
          <w:rFonts w:ascii="Times New Roman" w:hAnsi="Times New Roman" w:cs="Times New Roman"/>
        </w:rPr>
        <w:t>–</w:t>
      </w:r>
      <w:r w:rsidRPr="00C45FFC">
        <w:rPr>
          <w:rFonts w:ascii="Times New Roman" w:hAnsi="Times New Roman" w:cs="Times New Roman"/>
        </w:rPr>
        <w:t xml:space="preserve"> Conceito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Preliminar de Curso referente aos anos de 2008 e 2011.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3.</w:t>
      </w:r>
      <w:proofErr w:type="gramEnd"/>
      <w:r w:rsidRPr="00C45FFC">
        <w:rPr>
          <w:rFonts w:ascii="Times New Roman" w:hAnsi="Times New Roman" w:cs="Times New Roman"/>
        </w:rPr>
        <w:t>Os cursos elencados nos Anexos do citado Despacho foram divididos em duas categorias. No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Anexo I foram listados os cursos que obtiveram reiterados resultados insatisfatórios nos CPC dos anos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2008 e 2011, mas que demonstraram tendência de melhora em seus indicadores contínuos. No Anexo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II, por sua vez, foram listados os cursos que apresentaram tendência negativa, ou seja, que apresentaram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piora em seus indicadores contínuos.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4.</w:t>
      </w:r>
      <w:proofErr w:type="gramEnd"/>
      <w:r w:rsidRPr="00C45FFC">
        <w:rPr>
          <w:rFonts w:ascii="Times New Roman" w:hAnsi="Times New Roman" w:cs="Times New Roman"/>
        </w:rPr>
        <w:t>O Despacho n° 192, de 2012, foi expresso ao determinar que os cursos do Anexo II (tendência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negativa) somente poderão ter a medida cautelar de suspensão de ingresso revista após a comprovação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do cumprimento de todas as obrigações relacionadas no protocolo de compromisso assumido no processo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regulatório específico de renovação de reconhecimento do curso.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5.</w:t>
      </w:r>
      <w:proofErr w:type="gramEnd"/>
      <w:r w:rsidRPr="00C45FFC">
        <w:rPr>
          <w:rFonts w:ascii="Times New Roman" w:hAnsi="Times New Roman" w:cs="Times New Roman"/>
        </w:rPr>
        <w:t>A seu turno, os cursos constantes do Anexo I (tendência positiva) poderão ter a referida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medida cautelar revista em momento anterior à verificação final e cumprimento das obrigações assumidas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no protocolo de compromisso.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III - ANÁLISE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6.</w:t>
      </w:r>
      <w:proofErr w:type="gramEnd"/>
      <w:r w:rsidRPr="00C45FFC">
        <w:rPr>
          <w:rFonts w:ascii="Times New Roman" w:hAnsi="Times New Roman" w:cs="Times New Roman"/>
        </w:rPr>
        <w:t>Poderão ser revistas pela Secretaria de Regulação e Supervisão da Educação Superior -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SERES as medidas cautelares impostas pelo Despacho n° 192, de 2012, às IES cujos cursos foram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listados no Anexo I do referido Despacho que tenham concordado com a proposta de Protocolo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Compromisso apresentada pela Secretaria e que tenham apresentado Plano de Melhorias consistente.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lastRenderedPageBreak/>
        <w:t>7.</w:t>
      </w:r>
      <w:proofErr w:type="gramEnd"/>
      <w:r w:rsidRPr="00C45FFC">
        <w:rPr>
          <w:rFonts w:ascii="Times New Roman" w:hAnsi="Times New Roman" w:cs="Times New Roman"/>
        </w:rPr>
        <w:t>Além disso, serão utilizados para revisão da medida cautelar imposta pelo Despacho SERES/MEC n° 192, de 2012, os seguintes insumos: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5FFC">
        <w:rPr>
          <w:rFonts w:ascii="Times New Roman" w:hAnsi="Times New Roman" w:cs="Times New Roman"/>
        </w:rPr>
        <w:t>i.</w:t>
      </w:r>
      <w:proofErr w:type="gramEnd"/>
      <w:r w:rsidRPr="00C45FFC">
        <w:rPr>
          <w:rFonts w:ascii="Times New Roman" w:hAnsi="Times New Roman" w:cs="Times New Roman"/>
        </w:rPr>
        <w:t>Índice</w:t>
      </w:r>
      <w:proofErr w:type="spellEnd"/>
      <w:r w:rsidRPr="00C45FFC">
        <w:rPr>
          <w:rFonts w:ascii="Times New Roman" w:hAnsi="Times New Roman" w:cs="Times New Roman"/>
        </w:rPr>
        <w:t xml:space="preserve"> Geral de Cursos - IGC obtido pelas IES, tendo como referência o ano de 2011;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5FFC">
        <w:rPr>
          <w:rFonts w:ascii="Times New Roman" w:hAnsi="Times New Roman" w:cs="Times New Roman"/>
        </w:rPr>
        <w:t>ii.</w:t>
      </w:r>
      <w:proofErr w:type="gramEnd"/>
      <w:r w:rsidRPr="00C45FFC">
        <w:rPr>
          <w:rFonts w:ascii="Times New Roman" w:hAnsi="Times New Roman" w:cs="Times New Roman"/>
        </w:rPr>
        <w:t>Conceito</w:t>
      </w:r>
      <w:proofErr w:type="spellEnd"/>
      <w:r w:rsidRPr="00C45FFC">
        <w:rPr>
          <w:rFonts w:ascii="Times New Roman" w:hAnsi="Times New Roman" w:cs="Times New Roman"/>
        </w:rPr>
        <w:t xml:space="preserve"> Institucional - CI obtido pelas IES nos anos de 2011 e 2012.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8.</w:t>
      </w:r>
      <w:proofErr w:type="gramEnd"/>
      <w:r w:rsidRPr="00C45FFC">
        <w:rPr>
          <w:rFonts w:ascii="Times New Roman" w:hAnsi="Times New Roman" w:cs="Times New Roman"/>
        </w:rPr>
        <w:t>O IGC é construído com base numa média ponderada das notas de todos os cursos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graduação e pós-graduação de cada instituição. Assim, sintetiza num único indicador a qualidade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todos os cursos de graduação, mestrado e doutorado da mesma instituição de educação.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9. O indicador representa, portanto, um índice de confiabilidade da IES, sendo importante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instrumento de política regulatória, possibilitando, até mesmo, a desoneração de visita para fins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autorização de novos cursos para a instituição.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10.</w:t>
      </w:r>
      <w:proofErr w:type="gramEnd"/>
      <w:r w:rsidRPr="00C45FFC">
        <w:rPr>
          <w:rFonts w:ascii="Times New Roman" w:hAnsi="Times New Roman" w:cs="Times New Roman"/>
        </w:rPr>
        <w:t>O IGC é insumo que compõe a matriz de risco regulatório utilizada na tomada de decisões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da Secretaria.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11.</w:t>
      </w:r>
      <w:proofErr w:type="gramEnd"/>
      <w:r w:rsidRPr="00C45FFC">
        <w:rPr>
          <w:rFonts w:ascii="Times New Roman" w:hAnsi="Times New Roman" w:cs="Times New Roman"/>
        </w:rPr>
        <w:t>O CI, por sua vez, é obtido pela IES após a realização de visita in loco para verificação das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condições de oferta global da entidade. Por meio do CI, principalmente com a evolução dos instrumentos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de avaliação utilizados pelo INEP - Instituto Nacional de Estudos de Pesquisas Educacionais Anísio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Teixeira, é possível captar-se a dinâmica cotidiana das instituições de educação superior, ressaltando suas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peculiaridades e o histórico institucional.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12.</w:t>
      </w:r>
      <w:proofErr w:type="gramEnd"/>
      <w:r w:rsidRPr="00C45FFC">
        <w:rPr>
          <w:rFonts w:ascii="Times New Roman" w:hAnsi="Times New Roman" w:cs="Times New Roman"/>
        </w:rPr>
        <w:t>Assim sendo, a medida cautelar imposta pelo Despacho SERES/MEC n° 192, de 2012,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somente poderá ser revista para as IES cujos cursos foram elencados no Anexo I do Despacho de acordo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 os seguintes critérios:</w:t>
      </w:r>
    </w:p>
    <w:p w:rsidR="00DB185F" w:rsidRDefault="00DB185F" w:rsidP="00C45FF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5274"/>
      </w:tblGrid>
      <w:tr w:rsidR="00DB185F" w:rsidTr="00DB185F">
        <w:tc>
          <w:tcPr>
            <w:tcW w:w="993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Situação</w:t>
            </w:r>
          </w:p>
        </w:tc>
        <w:tc>
          <w:tcPr>
            <w:tcW w:w="2835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Critério</w:t>
            </w:r>
          </w:p>
        </w:tc>
        <w:tc>
          <w:tcPr>
            <w:tcW w:w="5274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</w:p>
        </w:tc>
      </w:tr>
      <w:tr w:rsidR="00DB185F" w:rsidTr="00DB185F">
        <w:tc>
          <w:tcPr>
            <w:tcW w:w="993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835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 com IGC 2011 = 4 ou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5274" w:type="dxa"/>
          </w:tcPr>
          <w:p w:rsidR="00DB185F" w:rsidRDefault="00DB185F" w:rsidP="00DB1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a assinatura do protocolo de compromisso e análise do plano de melhorias pela SERES/MEC</w:t>
            </w:r>
          </w:p>
        </w:tc>
      </w:tr>
      <w:tr w:rsidR="00DB185F" w:rsidTr="00DB185F">
        <w:tc>
          <w:tcPr>
            <w:tcW w:w="993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835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 com IGC 2011 = 3</w:t>
            </w:r>
          </w:p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 (2011 ou 2012) = 4 ou </w:t>
            </w:r>
            <w:proofErr w:type="gramStart"/>
            <w:r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5274" w:type="dxa"/>
          </w:tcPr>
          <w:p w:rsidR="00DB185F" w:rsidRDefault="00DB185F" w:rsidP="00E12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Após a assinatura do protocolo de compromisso e análise do plano de melhorias pela SERES/MEC</w:t>
            </w:r>
          </w:p>
        </w:tc>
      </w:tr>
      <w:tr w:rsidR="00DB185F" w:rsidTr="00DB185F">
        <w:tc>
          <w:tcPr>
            <w:tcW w:w="993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835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 com IGC 2011 = 3</w:t>
            </w:r>
          </w:p>
        </w:tc>
        <w:tc>
          <w:tcPr>
            <w:tcW w:w="5274" w:type="dxa"/>
          </w:tcPr>
          <w:p w:rsidR="00DB185F" w:rsidRDefault="00DB185F" w:rsidP="00DB18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Somente após a análise satisfatória pela SERES/MEC do primeiro relatório da Comissão de Acompanhamento do Protocolo de Compromisso</w:t>
            </w:r>
          </w:p>
        </w:tc>
      </w:tr>
      <w:tr w:rsidR="00DB185F" w:rsidTr="00DB185F">
        <w:tc>
          <w:tcPr>
            <w:tcW w:w="993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835" w:type="dxa"/>
          </w:tcPr>
          <w:p w:rsidR="00DB185F" w:rsidRDefault="00DB185F" w:rsidP="00DB1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 com IGC 2011 = 1 ou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274" w:type="dxa"/>
          </w:tcPr>
          <w:p w:rsidR="00DB185F" w:rsidRDefault="00DB185F" w:rsidP="00C45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Somente após visita de avaliação in loco e comprovação do cumprimento das obrigações assumidas no protocolo de compromisso e no plano de melhorias</w:t>
            </w:r>
          </w:p>
        </w:tc>
      </w:tr>
    </w:tbl>
    <w:p w:rsidR="00DB185F" w:rsidRDefault="00DB185F" w:rsidP="00C45FF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13.</w:t>
      </w:r>
      <w:proofErr w:type="gramEnd"/>
      <w:r w:rsidRPr="00C45FFC">
        <w:rPr>
          <w:rFonts w:ascii="Times New Roman" w:hAnsi="Times New Roman" w:cs="Times New Roman"/>
        </w:rPr>
        <w:t>Não poderão ser revistas as medidas cautelares impostas às IES cujos cursos estejam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submetidos a processos de supervisão ativos, nos quais existe penalidade ou medida cautelar já aplicada.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14.</w:t>
      </w:r>
      <w:proofErr w:type="gramEnd"/>
      <w:r w:rsidRPr="00C45FFC">
        <w:rPr>
          <w:rFonts w:ascii="Times New Roman" w:hAnsi="Times New Roman" w:cs="Times New Roman"/>
        </w:rPr>
        <w:t>Também não poderão ser revistas as medidas cautelares impostas às IES cujos cursos tenham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obtido resultado insatisfatório, em qualquer das dimensões, no último CC - Conceito de Curso calculado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pelo INEP.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15.</w:t>
      </w:r>
      <w:proofErr w:type="gramEnd"/>
      <w:r w:rsidRPr="00C45FFC">
        <w:rPr>
          <w:rFonts w:ascii="Times New Roman" w:hAnsi="Times New Roman" w:cs="Times New Roman"/>
        </w:rPr>
        <w:t>A medida cautelar aplicada pelo Despacho SERES/MEC n° 192, de 2012, ainda que revista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com base nos critérios acima descritos, poderá ser reeditada caso seja aplicada penalidade, em sede de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>processo de supervisão, à instituição cujo curso teve revista a suspensão de ingresso.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III - CONCLUSÃO</w:t>
      </w:r>
    </w:p>
    <w:p w:rsidR="00C45FFC" w:rsidRP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45FFC">
        <w:rPr>
          <w:rFonts w:ascii="Times New Roman" w:hAnsi="Times New Roman" w:cs="Times New Roman"/>
        </w:rPr>
        <w:t>16.</w:t>
      </w:r>
      <w:proofErr w:type="gramEnd"/>
      <w:r w:rsidRPr="00C45FFC">
        <w:rPr>
          <w:rFonts w:ascii="Times New Roman" w:hAnsi="Times New Roman" w:cs="Times New Roman"/>
        </w:rPr>
        <w:t>Sugere-se que os critérios acima descritos sejam publicados no Diário Oficial da União, bem</w:t>
      </w:r>
      <w:r>
        <w:rPr>
          <w:rFonts w:ascii="Times New Roman" w:hAnsi="Times New Roman" w:cs="Times New Roman"/>
        </w:rPr>
        <w:t xml:space="preserve"> </w:t>
      </w:r>
      <w:r w:rsidRPr="00C45FFC">
        <w:rPr>
          <w:rFonts w:ascii="Times New Roman" w:hAnsi="Times New Roman" w:cs="Times New Roman"/>
        </w:rPr>
        <w:t xml:space="preserve">como que sejam comunicados às IES cujos cursos foram elencados no Anexo I do Despacho SERES/MEC n° 192, de 18 de dezembro de 2012, via sistema </w:t>
      </w:r>
      <w:proofErr w:type="spellStart"/>
      <w:r w:rsidRPr="00C45FFC">
        <w:rPr>
          <w:rFonts w:ascii="Times New Roman" w:hAnsi="Times New Roman" w:cs="Times New Roman"/>
        </w:rPr>
        <w:t>e-MEC</w:t>
      </w:r>
      <w:proofErr w:type="spellEnd"/>
      <w:r w:rsidRPr="00C45FFC">
        <w:rPr>
          <w:rFonts w:ascii="Times New Roman" w:hAnsi="Times New Roman" w:cs="Times New Roman"/>
        </w:rPr>
        <w:t>.</w:t>
      </w:r>
    </w:p>
    <w:p w:rsidR="00DB185F" w:rsidRDefault="00DB185F" w:rsidP="00DB18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FFC" w:rsidRDefault="00C45FFC" w:rsidP="00DB18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Brasília, 28 de dezembro de 2012.</w:t>
      </w:r>
    </w:p>
    <w:p w:rsidR="00DB185F" w:rsidRPr="00C45FFC" w:rsidRDefault="00DB185F" w:rsidP="00DB18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FFC" w:rsidRDefault="00C45FFC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45FFC">
        <w:rPr>
          <w:rFonts w:ascii="Times New Roman" w:hAnsi="Times New Roman" w:cs="Times New Roman"/>
        </w:rPr>
        <w:t>À consideração superior.</w:t>
      </w:r>
    </w:p>
    <w:p w:rsidR="00DB185F" w:rsidRPr="00C45FFC" w:rsidRDefault="00DB185F" w:rsidP="00C45F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MARTA WENDEL ABRAMO</w:t>
      </w:r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Diretora de Supervisão da Educação Superior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ANDREA DE FARIA BARROS ANDRADE</w:t>
      </w:r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Diretora de Regulação da Educação Superior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Aprovo. Emita-se e publique-se o Despacho, nos termos sugeridos pela Nota Técnica.</w:t>
      </w:r>
    </w:p>
    <w:p w:rsidR="00DB185F" w:rsidRPr="00C45FFC" w:rsidRDefault="00DB185F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JORGE RODRIGO ARAÚJO MESSIAS</w:t>
      </w:r>
    </w:p>
    <w:p w:rsidR="00C45FFC" w:rsidRPr="00C45FFC" w:rsidRDefault="00C45FFC" w:rsidP="00C45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FFC">
        <w:rPr>
          <w:rFonts w:ascii="Times New Roman" w:hAnsi="Times New Roman" w:cs="Times New Roman"/>
          <w:b/>
        </w:rPr>
        <w:t>Secretário de Regulação e Supervisão da Educação Superior</w:t>
      </w:r>
    </w:p>
    <w:p w:rsidR="00DB185F" w:rsidRDefault="00DB185F" w:rsidP="00C45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85F" w:rsidRPr="00C45FFC" w:rsidRDefault="00DB185F" w:rsidP="00DB18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185F">
        <w:rPr>
          <w:rFonts w:ascii="Times New Roman" w:hAnsi="Times New Roman" w:cs="Times New Roman"/>
          <w:b/>
          <w:i/>
        </w:rPr>
        <w:t xml:space="preserve">(Publicação no DOU n.º 02, de 03.01.2013, Seção 1, página </w:t>
      </w:r>
      <w:proofErr w:type="gramStart"/>
      <w:r w:rsidRPr="00DB185F"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2</w:t>
      </w:r>
      <w:r w:rsidRPr="00DB185F">
        <w:rPr>
          <w:rFonts w:ascii="Times New Roman" w:hAnsi="Times New Roman" w:cs="Times New Roman"/>
          <w:b/>
          <w:i/>
        </w:rPr>
        <w:t>)</w:t>
      </w:r>
      <w:proofErr w:type="gramEnd"/>
    </w:p>
    <w:sectPr w:rsidR="00DB185F" w:rsidRPr="00C45FFC" w:rsidSect="00C45F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5F" w:rsidRDefault="00DB185F" w:rsidP="00DB185F">
      <w:pPr>
        <w:spacing w:after="0" w:line="240" w:lineRule="auto"/>
      </w:pPr>
      <w:r>
        <w:separator/>
      </w:r>
    </w:p>
  </w:endnote>
  <w:endnote w:type="continuationSeparator" w:id="0">
    <w:p w:rsidR="00DB185F" w:rsidRDefault="00DB185F" w:rsidP="00D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50398"/>
      <w:docPartObj>
        <w:docPartGallery w:val="Page Numbers (Bottom of Page)"/>
        <w:docPartUnique/>
      </w:docPartObj>
    </w:sdtPr>
    <w:sdtContent>
      <w:p w:rsidR="00DB185F" w:rsidRDefault="00DB18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185F" w:rsidRDefault="00DB18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5F" w:rsidRDefault="00DB185F" w:rsidP="00DB185F">
      <w:pPr>
        <w:spacing w:after="0" w:line="240" w:lineRule="auto"/>
      </w:pPr>
      <w:r>
        <w:separator/>
      </w:r>
    </w:p>
  </w:footnote>
  <w:footnote w:type="continuationSeparator" w:id="0">
    <w:p w:rsidR="00DB185F" w:rsidRDefault="00DB185F" w:rsidP="00DB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C"/>
    <w:rsid w:val="003607FD"/>
    <w:rsid w:val="00C45FFC"/>
    <w:rsid w:val="00D442FB"/>
    <w:rsid w:val="00DB185F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85F"/>
  </w:style>
  <w:style w:type="paragraph" w:styleId="Rodap">
    <w:name w:val="footer"/>
    <w:basedOn w:val="Normal"/>
    <w:link w:val="RodapChar"/>
    <w:uiPriority w:val="99"/>
    <w:unhideWhenUsed/>
    <w:rsid w:val="00DB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85F"/>
  </w:style>
  <w:style w:type="paragraph" w:styleId="Rodap">
    <w:name w:val="footer"/>
    <w:basedOn w:val="Normal"/>
    <w:link w:val="RodapChar"/>
    <w:uiPriority w:val="99"/>
    <w:unhideWhenUsed/>
    <w:rsid w:val="00DB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2026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2013-01-03T10:02:00Z</dcterms:created>
  <dcterms:modified xsi:type="dcterms:W3CDTF">2013-01-03T10:26:00Z</dcterms:modified>
</cp:coreProperties>
</file>