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8B" w:rsidRPr="0071788B" w:rsidRDefault="0071788B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MINISTÉRIO DA</w:t>
      </w:r>
      <w:r w:rsidR="00323518">
        <w:rPr>
          <w:rFonts w:ascii="Times New Roman" w:hAnsi="Times New Roman" w:cs="Times New Roman"/>
          <w:b/>
        </w:rPr>
        <w:t xml:space="preserve"> </w:t>
      </w:r>
      <w:r w:rsidRPr="0071788B">
        <w:rPr>
          <w:rFonts w:ascii="Times New Roman" w:hAnsi="Times New Roman" w:cs="Times New Roman"/>
          <w:b/>
        </w:rPr>
        <w:t>EDUCAÇÃO</w:t>
      </w:r>
    </w:p>
    <w:p w:rsidR="00DF503D" w:rsidRPr="0071788B" w:rsidRDefault="00DF503D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GABINETE DO MINISTRO</w:t>
      </w:r>
    </w:p>
    <w:p w:rsidR="00DF503D" w:rsidRDefault="00DF503D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PORTARIA N</w:t>
      </w:r>
      <w:r w:rsidR="0071788B">
        <w:rPr>
          <w:rFonts w:ascii="Times New Roman" w:hAnsi="Times New Roman" w:cs="Times New Roman"/>
          <w:b/>
        </w:rPr>
        <w:t>º</w:t>
      </w:r>
      <w:r w:rsidRPr="0071788B">
        <w:rPr>
          <w:rFonts w:ascii="Times New Roman" w:hAnsi="Times New Roman" w:cs="Times New Roman"/>
          <w:b/>
        </w:rPr>
        <w:t xml:space="preserve"> 90, DE </w:t>
      </w:r>
      <w:proofErr w:type="gramStart"/>
      <w:r w:rsidRPr="0071788B">
        <w:rPr>
          <w:rFonts w:ascii="Times New Roman" w:hAnsi="Times New Roman" w:cs="Times New Roman"/>
          <w:b/>
        </w:rPr>
        <w:t>6</w:t>
      </w:r>
      <w:proofErr w:type="gramEnd"/>
      <w:r w:rsidRPr="0071788B">
        <w:rPr>
          <w:rFonts w:ascii="Times New Roman" w:hAnsi="Times New Roman" w:cs="Times New Roman"/>
          <w:b/>
        </w:rPr>
        <w:t xml:space="preserve"> DE FEVEREIRO DE 2013</w:t>
      </w:r>
    </w:p>
    <w:p w:rsidR="0071788B" w:rsidRPr="0071788B" w:rsidRDefault="0071788B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03D" w:rsidRDefault="00DF503D" w:rsidP="0071788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Define o valor máximo das bolsas para os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profissionais da educação participantes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formação continuada de professores alfabetizadores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no âmbito do Pacto Nacional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pela Alfabetização na Idade Certa.</w:t>
      </w:r>
    </w:p>
    <w:p w:rsidR="0071788B" w:rsidRPr="0071788B" w:rsidRDefault="0071788B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O MINISTRO DE ESTADO DA EDUCAÇÃO, no uso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atribuição que lhe é conferida pelo art. 87, parágrafo único, inciso II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Constituição, e tendo em vista o disposto no art. 2o, § 1o,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Medida Provisória </w:t>
      </w:r>
      <w:proofErr w:type="gramStart"/>
      <w:r w:rsidRPr="0071788B">
        <w:rPr>
          <w:rFonts w:ascii="Times New Roman" w:hAnsi="Times New Roman" w:cs="Times New Roman"/>
        </w:rPr>
        <w:t>no 586</w:t>
      </w:r>
      <w:proofErr w:type="gramEnd"/>
      <w:r w:rsidRPr="0071788B">
        <w:rPr>
          <w:rFonts w:ascii="Times New Roman" w:hAnsi="Times New Roman" w:cs="Times New Roman"/>
        </w:rPr>
        <w:t>, de 8 de novembro de 2012, bem como no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art. 4o da Portaria MEC no 1.458, de 14 de dezembro de 2012,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resolve: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1o Fica definido o valor máximo das bolsas para os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profissionais da educação participantes da formação continuada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professores alfabetizadores no âmbito do Pacto Nacional pela Alfabetização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na Idade Certa: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R$ 200,00 (duzentos reais) mensais, para o professor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alfabetizador;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II - R$ 765,00 (setecentos e sessenta e cinco reais), para 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orientador de estudo;</w:t>
      </w:r>
    </w:p>
    <w:p w:rsid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 xml:space="preserve">III - </w:t>
      </w:r>
      <w:proofErr w:type="gramStart"/>
      <w:r w:rsidRPr="0071788B">
        <w:rPr>
          <w:rFonts w:ascii="Times New Roman" w:hAnsi="Times New Roman" w:cs="Times New Roman"/>
        </w:rPr>
        <w:t>R$ 765,00 (setecentos e sessenta e cinco reais) para 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coordenador das ações do pacto nos estados, Distrito</w:t>
      </w:r>
      <w:proofErr w:type="gramEnd"/>
      <w:r w:rsidRPr="0071788B">
        <w:rPr>
          <w:rFonts w:ascii="Times New Roman" w:hAnsi="Times New Roman" w:cs="Times New Roman"/>
        </w:rPr>
        <w:t xml:space="preserve"> Federal e municípios;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IV - R$ 1.100,00 (mil e cem reais) para o formador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instituição de ensino superior;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 - R$ 1.200,00 (mil e duzentos reais) para o supervisor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instituição de ensino superior;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 - R$ 1.400,00 (mil e quatrocentos reais) para o coordenador-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adjunto da instituição de ensino superior; </w:t>
      </w:r>
      <w:proofErr w:type="gramStart"/>
      <w:r w:rsidRPr="0071788B">
        <w:rPr>
          <w:rFonts w:ascii="Times New Roman" w:hAnsi="Times New Roman" w:cs="Times New Roman"/>
        </w:rPr>
        <w:t>e</w:t>
      </w:r>
      <w:proofErr w:type="gramEnd"/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VII - R$ 2.000,00 (dois mil reais) para o coordenador-geral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instituição de ensino superior.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2o Esta Portaria entra em vigor na data de sua publicação.</w:t>
      </w:r>
    </w:p>
    <w:p w:rsidR="00D442FB" w:rsidRDefault="00DF503D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ALOIZIO MERCADANTE OLIVA</w:t>
      </w:r>
    </w:p>
    <w:p w:rsidR="0037447D" w:rsidRPr="0071788B" w:rsidRDefault="0037447D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47D" w:rsidRDefault="0037447D" w:rsidP="003744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27, de 07.02.2013, Seção 1, página </w:t>
      </w:r>
      <w:proofErr w:type="gramStart"/>
      <w:r>
        <w:rPr>
          <w:rFonts w:ascii="Times New Roman" w:hAnsi="Times New Roman" w:cs="Times New Roman"/>
          <w:b/>
          <w:i/>
        </w:rPr>
        <w:t>06)</w:t>
      </w:r>
      <w:proofErr w:type="gramEnd"/>
    </w:p>
    <w:p w:rsidR="0071788B" w:rsidRPr="0071788B" w:rsidRDefault="0071788B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03D" w:rsidRPr="0071788B" w:rsidRDefault="00DF503D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DESPACHO DO MINISTRO</w:t>
      </w:r>
    </w:p>
    <w:p w:rsidR="00DF503D" w:rsidRPr="0071788B" w:rsidRDefault="00DF503D" w:rsidP="00717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 xml:space="preserve">Em </w:t>
      </w:r>
      <w:proofErr w:type="gramStart"/>
      <w:r w:rsidRPr="0071788B">
        <w:rPr>
          <w:rFonts w:ascii="Times New Roman" w:hAnsi="Times New Roman" w:cs="Times New Roman"/>
        </w:rPr>
        <w:t>6</w:t>
      </w:r>
      <w:proofErr w:type="gramEnd"/>
      <w:r w:rsidRPr="0071788B">
        <w:rPr>
          <w:rFonts w:ascii="Times New Roman" w:hAnsi="Times New Roman" w:cs="Times New Roman"/>
        </w:rPr>
        <w:t xml:space="preserve"> de fevereiro de 2013</w:t>
      </w:r>
    </w:p>
    <w:p w:rsidR="00DF503D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Nos termos do art. 2o da Lei no 9.131, de 24 de novembro de 1995, o Ministro de Estado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Educação, HOMOLOGA o Parecer no 357/2012, da Câmara de Educação Superior do Conselho Nacional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Educação, favorável à convalidação dos estudos e à validação nacional dos títulos de Mestre,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obtidos no curso de mestrado em Direito, pelos 26 (vinte e seis) alunos, ingressantes nos anos de 1999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 2000, abaixo relacionados, ministrado pela Universidade do Sul de Santa Catarina, sediada no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Município de Tubarão, no Estado de Santa Catarina, conforme consta do Processo </w:t>
      </w:r>
      <w:proofErr w:type="gramStart"/>
      <w:r w:rsidRPr="0071788B">
        <w:rPr>
          <w:rFonts w:ascii="Times New Roman" w:hAnsi="Times New Roman" w:cs="Times New Roman"/>
        </w:rPr>
        <w:t>no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23001.000064</w:t>
      </w:r>
      <w:proofErr w:type="gramEnd"/>
      <w:r w:rsidRPr="0071788B">
        <w:rPr>
          <w:rFonts w:ascii="Times New Roman" w:hAnsi="Times New Roman" w:cs="Times New Roman"/>
        </w:rPr>
        <w:t>/ 2011- 67.</w:t>
      </w:r>
    </w:p>
    <w:p w:rsidR="0071788B" w:rsidRDefault="0071788B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6"/>
        <w:gridCol w:w="109"/>
        <w:gridCol w:w="4301"/>
        <w:gridCol w:w="13"/>
        <w:gridCol w:w="4537"/>
      </w:tblGrid>
      <w:tr w:rsidR="00BB7AEB" w:rsidTr="00BB7AEB">
        <w:tc>
          <w:tcPr>
            <w:tcW w:w="326" w:type="dxa"/>
          </w:tcPr>
          <w:p w:rsidR="00BB7AEB" w:rsidRDefault="00BB7AEB" w:rsidP="00BB7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2"/>
          </w:tcPr>
          <w:p w:rsidR="00BB7AEB" w:rsidRDefault="00BB7AEB" w:rsidP="00BB7AEB">
            <w:pPr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4546" w:type="dxa"/>
            <w:gridSpan w:val="2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</w:tr>
      <w:tr w:rsidR="00BB7AEB" w:rsidTr="00BB7AEB">
        <w:tc>
          <w:tcPr>
            <w:tcW w:w="160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0" w:type="dxa"/>
            <w:gridSpan w:val="2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AURIVAN MARCOS SIMIONATTO</w:t>
            </w:r>
          </w:p>
        </w:tc>
        <w:tc>
          <w:tcPr>
            <w:tcW w:w="4605" w:type="dxa"/>
            <w:gridSpan w:val="2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11/8.1.</w:t>
            </w:r>
            <w:proofErr w:type="gramEnd"/>
            <w:r>
              <w:rPr>
                <w:rFonts w:ascii="Times New Roman" w:hAnsi="Times New Roman" w:cs="Times New Roman"/>
              </w:rPr>
              <w:t>885.290 SSP/SC</w:t>
            </w:r>
          </w:p>
        </w:tc>
      </w:tr>
      <w:tr w:rsidR="00BB7AEB" w:rsidTr="00BB7AEB">
        <w:tc>
          <w:tcPr>
            <w:tcW w:w="160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0" w:type="dxa"/>
            <w:gridSpan w:val="2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BEATRIZ HELENA BRAGANHOLO</w:t>
            </w:r>
          </w:p>
        </w:tc>
        <w:tc>
          <w:tcPr>
            <w:tcW w:w="4605" w:type="dxa"/>
            <w:gridSpan w:val="2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4037648971 SSP/RS</w:t>
            </w:r>
          </w:p>
        </w:tc>
      </w:tr>
      <w:tr w:rsidR="00BB7AEB" w:rsidTr="00BB7AEB">
        <w:tc>
          <w:tcPr>
            <w:tcW w:w="160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0" w:type="dxa"/>
            <w:gridSpan w:val="2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DENISE SILVA DE AMORIN FARIA</w:t>
            </w:r>
          </w:p>
        </w:tc>
        <w:tc>
          <w:tcPr>
            <w:tcW w:w="4605" w:type="dxa"/>
            <w:gridSpan w:val="2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2.297.045 SSP/SC</w:t>
            </w:r>
          </w:p>
        </w:tc>
      </w:tr>
      <w:tr w:rsidR="00BB7AEB" w:rsidTr="00BB7AEB">
        <w:tc>
          <w:tcPr>
            <w:tcW w:w="160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0" w:type="dxa"/>
            <w:gridSpan w:val="2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EDSON RODRIGUES DE SOUSA MAGALDI</w:t>
            </w:r>
          </w:p>
        </w:tc>
        <w:tc>
          <w:tcPr>
            <w:tcW w:w="4605" w:type="dxa"/>
            <w:gridSpan w:val="2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proofErr w:type="gramStart"/>
            <w:r>
              <w:rPr>
                <w:rFonts w:ascii="Times New Roman" w:hAnsi="Times New Roman" w:cs="Times New Roman"/>
              </w:rPr>
              <w:t>R1.</w:t>
            </w:r>
            <w:proofErr w:type="gramEnd"/>
            <w:r>
              <w:rPr>
                <w:rFonts w:ascii="Times New Roman" w:hAnsi="Times New Roman" w:cs="Times New Roman"/>
              </w:rPr>
              <w:t>431.451 SSP/SC</w:t>
            </w:r>
          </w:p>
        </w:tc>
      </w:tr>
      <w:tr w:rsidR="00BB7AEB" w:rsidTr="00BB7AEB">
        <w:tc>
          <w:tcPr>
            <w:tcW w:w="160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 w:rsidRPr="0071788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470" w:type="dxa"/>
            <w:gridSpan w:val="2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  <w:lang w:val="en-US"/>
              </w:rPr>
              <w:t>FABIO ZABOT HOLTHAUSEN</w:t>
            </w:r>
          </w:p>
        </w:tc>
        <w:tc>
          <w:tcPr>
            <w:tcW w:w="4605" w:type="dxa"/>
            <w:gridSpan w:val="2"/>
          </w:tcPr>
          <w:p w:rsidR="00BB7AEB" w:rsidRPr="00BB7AEB" w:rsidRDefault="00BB7AEB" w:rsidP="00A83B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2.937.399 SSP/SC</w:t>
            </w:r>
          </w:p>
        </w:tc>
      </w:tr>
      <w:tr w:rsidR="00BB7AEB" w:rsidRPr="0071788B" w:rsidTr="00BB7AEB">
        <w:tc>
          <w:tcPr>
            <w:tcW w:w="232" w:type="dxa"/>
            <w:gridSpan w:val="2"/>
          </w:tcPr>
          <w:p w:rsidR="00BB7AEB" w:rsidRPr="0071788B" w:rsidRDefault="00BB7AEB" w:rsidP="00BB7A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1788B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4373" w:type="dxa"/>
            <w:gridSpan w:val="2"/>
          </w:tcPr>
          <w:p w:rsidR="00BB7AEB" w:rsidRPr="0071788B" w:rsidRDefault="00BB7AEB" w:rsidP="007178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1788B">
              <w:rPr>
                <w:rFonts w:ascii="Times New Roman" w:hAnsi="Times New Roman" w:cs="Times New Roman"/>
                <w:lang w:val="en-US"/>
              </w:rPr>
              <w:t>LAURO JOSÉ BALLOCK</w:t>
            </w:r>
          </w:p>
        </w:tc>
        <w:tc>
          <w:tcPr>
            <w:tcW w:w="4605" w:type="dxa"/>
          </w:tcPr>
          <w:p w:rsidR="00BB7AEB" w:rsidRPr="0071788B" w:rsidRDefault="00BB7AEB" w:rsidP="00A83B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1788B">
              <w:rPr>
                <w:rFonts w:ascii="Times New Roman" w:hAnsi="Times New Roman" w:cs="Times New Roman"/>
                <w:lang w:val="en-US"/>
              </w:rPr>
              <w:t>OAB-SC</w:t>
            </w:r>
            <w:r>
              <w:rPr>
                <w:rFonts w:ascii="Times New Roman" w:hAnsi="Times New Roman" w:cs="Times New Roman"/>
                <w:lang w:val="en-US"/>
              </w:rPr>
              <w:t>11513</w:t>
            </w:r>
          </w:p>
        </w:tc>
      </w:tr>
      <w:tr w:rsidR="00BB7AEB" w:rsidTr="00BB7AEB">
        <w:tc>
          <w:tcPr>
            <w:tcW w:w="436" w:type="dxa"/>
            <w:gridSpan w:val="2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8" w:type="dxa"/>
            <w:gridSpan w:val="2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LUISA MARTA CAMILO DAL ALBA</w:t>
            </w:r>
          </w:p>
        </w:tc>
        <w:tc>
          <w:tcPr>
            <w:tcW w:w="4532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1007539231 SSP/RS</w:t>
            </w:r>
          </w:p>
        </w:tc>
      </w:tr>
    </w:tbl>
    <w:p w:rsidR="00BB7AEB" w:rsidRDefault="00BB7AEB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"/>
        <w:gridCol w:w="4317"/>
        <w:gridCol w:w="4533"/>
      </w:tblGrid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8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MARCOS ALBERTO CARVALHO DE FREITAS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4088695-8 SSP/PR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NARA REGINA MELLO PINHO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5ª/</w:t>
            </w:r>
            <w:proofErr w:type="gramStart"/>
            <w:r>
              <w:rPr>
                <w:rFonts w:ascii="Times New Roman" w:hAnsi="Times New Roman" w:cs="Times New Roman"/>
              </w:rPr>
              <w:t>C-1.</w:t>
            </w:r>
            <w:proofErr w:type="gramEnd"/>
            <w:r>
              <w:rPr>
                <w:rFonts w:ascii="Times New Roman" w:hAnsi="Times New Roman" w:cs="Times New Roman"/>
              </w:rPr>
              <w:t>342.696-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RAQUEL DE SOUZA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23.620.114-1 SSP/SP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ROGÉRIO DE LUCA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14R</w:t>
            </w:r>
            <w:proofErr w:type="gramEnd"/>
            <w:r>
              <w:rPr>
                <w:rFonts w:ascii="Times New Roman" w:hAnsi="Times New Roman" w:cs="Times New Roman"/>
              </w:rPr>
              <w:t>/502.314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WÂNIO WIGGERS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914.475-7 PM/SC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ALEX SANDRO DA SILVA SCHELLEMBERG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2067495867 SJS/RS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CARLOS MOISÉS DA SILVA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916.109-0 PM/SC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CAROLINE RIBEIRO BIANCHINI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OAB-SC 12842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CLAÚDIA DAMASCENO PAZ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3.523.993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CLEUSA VALIM MARINI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OAB SC 12761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DANIELE COUTO DE OLIVEIRA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8/</w:t>
            </w:r>
            <w:proofErr w:type="gramStart"/>
            <w:r>
              <w:rPr>
                <w:rFonts w:ascii="Times New Roman" w:hAnsi="Times New Roman" w:cs="Times New Roman"/>
              </w:rPr>
              <w:t>C-3.</w:t>
            </w:r>
            <w:proofErr w:type="gramEnd"/>
            <w:r>
              <w:rPr>
                <w:rFonts w:ascii="Times New Roman" w:hAnsi="Times New Roman" w:cs="Times New Roman"/>
              </w:rPr>
              <w:t>040.092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GERALDO PAES PESSOA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1.904.919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GIOVANNI LIMAS FLORIANI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1.826.130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LESTER MARCANTÔNIO CAMARGO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7049125219 SJTC/RS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MAURÍCIO NEVES DE JESUS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2.706.016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NARA MARIA FAORO BENVENUTTI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2006180638 SSP/RS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PATRÍCIA ULIANO EFFTING ZOCH DE MOURA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3.020.854 SSP/SC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PAULO CALGARO DE CARVALHO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913.529-4 PM/SC</w:t>
            </w:r>
          </w:p>
        </w:tc>
      </w:tr>
      <w:tr w:rsidR="00BB7AEB" w:rsidTr="00BB7AEB">
        <w:tc>
          <w:tcPr>
            <w:tcW w:w="436" w:type="dxa"/>
          </w:tcPr>
          <w:p w:rsidR="00BB7AEB" w:rsidRDefault="00BB7AEB" w:rsidP="00BB7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1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7" w:type="dxa"/>
          </w:tcPr>
          <w:p w:rsidR="00BB7AEB" w:rsidRDefault="00BB7AEB" w:rsidP="0071788B">
            <w:pPr>
              <w:jc w:val="both"/>
              <w:rPr>
                <w:rFonts w:ascii="Times New Roman" w:hAnsi="Times New Roman" w:cs="Times New Roman"/>
              </w:rPr>
            </w:pPr>
            <w:r w:rsidRPr="0071788B">
              <w:rPr>
                <w:rFonts w:ascii="Times New Roman" w:hAnsi="Times New Roman" w:cs="Times New Roman"/>
              </w:rPr>
              <w:t>ZAIDA HELENA DE MORAIS HOFFMAN</w:t>
            </w:r>
          </w:p>
        </w:tc>
        <w:tc>
          <w:tcPr>
            <w:tcW w:w="4533" w:type="dxa"/>
          </w:tcPr>
          <w:p w:rsidR="00BB7AEB" w:rsidRDefault="00BB7AEB" w:rsidP="00A83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 6035277951 SSP/RS</w:t>
            </w:r>
          </w:p>
        </w:tc>
      </w:tr>
    </w:tbl>
    <w:p w:rsidR="00DF503D" w:rsidRDefault="00DF503D" w:rsidP="00BB7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AEB">
        <w:rPr>
          <w:rFonts w:ascii="Times New Roman" w:hAnsi="Times New Roman" w:cs="Times New Roman"/>
          <w:b/>
        </w:rPr>
        <w:t>ALOIZIO MERCADANTE OLIVA</w:t>
      </w:r>
    </w:p>
    <w:p w:rsidR="0037447D" w:rsidRDefault="0037447D" w:rsidP="003744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 27, de 07.02.2013, Seção 1, página 06/07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37447D" w:rsidRPr="00BB7AEB" w:rsidRDefault="0037447D" w:rsidP="00BB7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788B" w:rsidRDefault="0071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F503D" w:rsidRPr="0071788B" w:rsidRDefault="00DF503D" w:rsidP="00717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SECRETARIA DE EDUCAÇÃO SUPERIOR</w:t>
      </w:r>
    </w:p>
    <w:p w:rsidR="00DF503D" w:rsidRPr="0071788B" w:rsidRDefault="00DF503D" w:rsidP="00717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COMISSÃO NACIONAL DE RESIDÊNCIA</w:t>
      </w:r>
    </w:p>
    <w:p w:rsidR="00DF503D" w:rsidRDefault="00DF503D" w:rsidP="00717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MULTIPROFISSIONAL EM SAÚDE</w:t>
      </w:r>
    </w:p>
    <w:p w:rsidR="0071788B" w:rsidRPr="0071788B" w:rsidRDefault="0071788B" w:rsidP="007178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71788B">
        <w:rPr>
          <w:rFonts w:ascii="Times New Roman" w:hAnsi="Times New Roman" w:cs="Times New Roman"/>
          <w:b/>
        </w:rPr>
        <w:t>RESOLUÇÃO N</w:t>
      </w:r>
      <w:r w:rsidR="0071788B">
        <w:rPr>
          <w:rFonts w:ascii="Times New Roman" w:hAnsi="Times New Roman" w:cs="Times New Roman"/>
          <w:b/>
        </w:rPr>
        <w:t>º</w:t>
      </w:r>
      <w:r w:rsidRPr="0071788B">
        <w:rPr>
          <w:rFonts w:ascii="Times New Roman" w:hAnsi="Times New Roman" w:cs="Times New Roman"/>
          <w:b/>
        </w:rPr>
        <w:t xml:space="preserve"> 1, DE </w:t>
      </w:r>
      <w:proofErr w:type="gramStart"/>
      <w:r w:rsidRPr="0071788B">
        <w:rPr>
          <w:rFonts w:ascii="Times New Roman" w:hAnsi="Times New Roman" w:cs="Times New Roman"/>
          <w:b/>
        </w:rPr>
        <w:t>6</w:t>
      </w:r>
      <w:proofErr w:type="gramEnd"/>
      <w:r w:rsidRPr="0071788B">
        <w:rPr>
          <w:rFonts w:ascii="Times New Roman" w:hAnsi="Times New Roman" w:cs="Times New Roman"/>
          <w:b/>
        </w:rPr>
        <w:t xml:space="preserve"> DE FEVEREIRO DE 2013</w:t>
      </w:r>
    </w:p>
    <w:p w:rsidR="0071788B" w:rsidRPr="0071788B" w:rsidRDefault="0071788B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F503D" w:rsidRDefault="00DF503D" w:rsidP="0071788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Institui o Banco de Avaliadores da Comissão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Nacional de Residência Multiprofissional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em Saúde - CNRMS e dá outras providências.</w:t>
      </w:r>
    </w:p>
    <w:p w:rsidR="0071788B" w:rsidRPr="0071788B" w:rsidRDefault="0071788B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O Presidente da Comissão Nacional de Residência Multiprofissional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em Saúde - CNRMS, no uso das atribuições que lhe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confere a Portaria nº 1.320, de 11 de novembro de 2009, e: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CONSIDERANDO a Lei nº 11.129, de 30 de junho de 2005,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que institui a Comissão Nacional de Residência Multiprofissional em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Saúde no âmbito do Ministério da Educação;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CONSIDERANDO a Portaria Interministerial 1.077, de 12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novembro de 2009, que dispõe sobre a Residência Multiprofissional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 em Área Profissional da Saúde e a Comissão Nacional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Residência Multiprofissional em Saúde;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CONSIDERANDO o Decreto nº 6.092, de 24 de abril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2007, que regulamenta o Auxílio de Avaliação Educacional - AAE,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instituído pela Medida Provisória nº 361, de 28 de março de 2007; </w:t>
      </w:r>
      <w:proofErr w:type="gramStart"/>
      <w:r w:rsidRPr="0071788B">
        <w:rPr>
          <w:rFonts w:ascii="Times New Roman" w:hAnsi="Times New Roman" w:cs="Times New Roman"/>
        </w:rPr>
        <w:t>e</w:t>
      </w:r>
      <w:proofErr w:type="gramEnd"/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CONSIDERANDO a Resolução FNDE nº 24, de 24 de maio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2011, que regulamenta o pagamento do Auxílio de Avaliação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Educacional no âmbito do Fundo Nacional de Desenvolvimento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Educação, </w:t>
      </w:r>
      <w:proofErr w:type="gramStart"/>
      <w:r w:rsidRPr="0071788B">
        <w:rPr>
          <w:rFonts w:ascii="Times New Roman" w:hAnsi="Times New Roman" w:cs="Times New Roman"/>
        </w:rPr>
        <w:t>resolve</w:t>
      </w:r>
      <w:proofErr w:type="gramEnd"/>
      <w:r w:rsidRPr="0071788B">
        <w:rPr>
          <w:rFonts w:ascii="Times New Roman" w:hAnsi="Times New Roman" w:cs="Times New Roman"/>
        </w:rPr>
        <w:t>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1º Fica instituído o Banco de Avaliadores da Comissão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Nacional de Residência Multiprofissional em Saúde - CNRMS, cadastro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nacional e único de profissionais habilitados a avaliar in loco 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registrar as condições concretas em que se desenvolvem os programas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residência multiprofissional e em área profissional da saúde.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Parágrafo único. O Ministério da Educação, por meio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CNRMS, é responsável pelo gerenciamento do Banco de Avaliadores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 pelo acompanhamento dos processos periódicos de avaliação in loco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 atividades conexas, previstos no caput deste artigo.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2º O funcionamento do Banco de Avaliadores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CNRMS obedecerá aos seguintes princípios: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legalidade;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 - impessoalidade;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moralidade;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IV - publicidade e transparência;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 - eficiência e economicidade;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 - segurança jurídica;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VII - segurança e gestão da tecnologia da informática;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VIII - relevância pública;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IX - compromisso com a missão pública das instituições que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ofertam Programas de Residência Multiprofissional e em Área Profissional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da Saúde; </w:t>
      </w:r>
      <w:proofErr w:type="gramStart"/>
      <w:r w:rsidRPr="0071788B">
        <w:rPr>
          <w:rFonts w:ascii="Times New Roman" w:hAnsi="Times New Roman" w:cs="Times New Roman"/>
        </w:rPr>
        <w:t>e</w:t>
      </w:r>
      <w:proofErr w:type="gramEnd"/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X - respeito à identidade e à diversidade das instituições.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3º O Banco de Avaliadores será constituído de profissionais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saúde com registro nos respectivos conselhos profissionais,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escolhidos por meio de processo seletivo público coordenado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pela CNRMS.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Parágrafo único. O processo seletivo exigirá dos candidatos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o cumprimento dos seguintes requisitos: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cadastro do currículo na Plataforma Lattes;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 - cadastro do profissional no Sistema de Informação da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Comissão Nacional de Residência Multiprofissional em Saúde -</w:t>
      </w:r>
      <w:r w:rsidR="007178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788B">
        <w:rPr>
          <w:rFonts w:ascii="Times New Roman" w:hAnsi="Times New Roman" w:cs="Times New Roman"/>
        </w:rPr>
        <w:t>SisCNRMS</w:t>
      </w:r>
      <w:proofErr w:type="spellEnd"/>
      <w:proofErr w:type="gramEnd"/>
      <w:r w:rsidRPr="0071788B">
        <w:rPr>
          <w:rFonts w:ascii="Times New Roman" w:hAnsi="Times New Roman" w:cs="Times New Roman"/>
        </w:rPr>
        <w:t>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pós-graduação stricto sensu;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 xml:space="preserve">IV - experiência em avaliação de cursos de graduação, </w:t>
      </w:r>
      <w:r w:rsidR="0071788B">
        <w:rPr>
          <w:rFonts w:ascii="Times New Roman" w:hAnsi="Times New Roman" w:cs="Times New Roman"/>
        </w:rPr>
        <w:t xml:space="preserve">pós-graduação </w:t>
      </w:r>
      <w:r w:rsidRPr="0071788B">
        <w:rPr>
          <w:rFonts w:ascii="Times New Roman" w:hAnsi="Times New Roman" w:cs="Times New Roman"/>
        </w:rPr>
        <w:t>ou em serviços da área da saúde;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lastRenderedPageBreak/>
        <w:t>V - experiência em tutoria ou preceptoria e gestão assistencial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ou gestão acadêmica;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 - disponibilidade para participar de pelo menos três avaliações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anuais;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 xml:space="preserve">VII - disponibilidade para se ausentar de </w:t>
      </w:r>
      <w:proofErr w:type="gramStart"/>
      <w:r w:rsidRPr="0071788B">
        <w:rPr>
          <w:rFonts w:ascii="Times New Roman" w:hAnsi="Times New Roman" w:cs="Times New Roman"/>
        </w:rPr>
        <w:t>suas atividades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três a cinco dias consecutivos</w:t>
      </w:r>
      <w:proofErr w:type="gramEnd"/>
      <w:r w:rsidRPr="0071788B">
        <w:rPr>
          <w:rFonts w:ascii="Times New Roman" w:hAnsi="Times New Roman" w:cs="Times New Roman"/>
        </w:rPr>
        <w:t>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VIII - não pertencer, como membro titular ou suplente, à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CNRMS ou às suas Câmaras Técnicas; </w:t>
      </w:r>
      <w:proofErr w:type="gramStart"/>
      <w:r w:rsidRPr="0071788B">
        <w:rPr>
          <w:rFonts w:ascii="Times New Roman" w:hAnsi="Times New Roman" w:cs="Times New Roman"/>
        </w:rPr>
        <w:t>e</w:t>
      </w:r>
      <w:proofErr w:type="gramEnd"/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IX - inexistência de pendências em seu nome junto às autoridades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tributárias e previdenciárias.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4º Os candidatos deverão se cadastrar no Sistema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Avaliação Educacional, cumprindo rigorosamente todas as suas etapas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 exigências cadastrais e documentais.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5º Os candidatos selecionados para compor o Banco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Avaliadores terão nome e Cadastro de </w:t>
      </w:r>
      <w:proofErr w:type="gramStart"/>
      <w:r w:rsidRPr="0071788B">
        <w:rPr>
          <w:rFonts w:ascii="Times New Roman" w:hAnsi="Times New Roman" w:cs="Times New Roman"/>
        </w:rPr>
        <w:t>Pessoa Física publicados no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Diário Oficial da União</w:t>
      </w:r>
      <w:proofErr w:type="gramEnd"/>
      <w:r w:rsidRPr="0071788B">
        <w:rPr>
          <w:rFonts w:ascii="Times New Roman" w:hAnsi="Times New Roman" w:cs="Times New Roman"/>
        </w:rPr>
        <w:t>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6º A CNRMS capacitará periodicamente os candidatos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selecionados para a avaliação in loco dos programas de residência.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7º A avaliação in loco dos programas de residência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multiprofissional e em área profissional da saúde será realizada por</w:t>
      </w:r>
      <w:r w:rsidR="00777464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comissão de avaliação composta por avaliadores selecionados e capacitados,</w:t>
      </w:r>
      <w:r w:rsidR="00777464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na seguinte proporção: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um a quatro programas: dois avaliadores;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 - cinco a oito programas: quatro avaliadores;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nove a doze programas: seis avaliadores;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IV - treze a dezessete programas: oito avaliadores;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 - acima de dezessete programas: doze avaliadores ou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mais.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8º A composição da comissão de avaliação levará em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conta o perfil acadêmico e profissional dos avaliadores e as características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do programa avaliado.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§ 1º Os avaliadores não poderão estar vinculados às instituições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responsáveis pelo desenvolvimento do programa de residência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avaliado.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§ 2º Os avaliadores não poderão residir na unidade federativa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do programa de residência avaliado.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§ 3º Pelo menos um dos avaliadores deverá ser da área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profissional do programa a ser avaliado.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§ 4º Os avaliadores contarão com o apoio técnico e administrativo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Coordenação Geral de Hospitais Universitários e Residências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Saúde na execução de suas tarefas.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9º A avaliação in loco verificará, primordialmente, a exatidão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dos dados fornecidos pelas instituições ofertantes de programas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residência multiprofissional e em área profissional da saúde.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10. As informações colhidas durante a avaliação in loco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deverão ser apresentadas na forma de relatório único, que deve ser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cadastrado no </w:t>
      </w:r>
      <w:proofErr w:type="spellStart"/>
      <w:proofErr w:type="gramStart"/>
      <w:r w:rsidRPr="0071788B">
        <w:rPr>
          <w:rFonts w:ascii="Times New Roman" w:hAnsi="Times New Roman" w:cs="Times New Roman"/>
        </w:rPr>
        <w:t>SisCNRMS</w:t>
      </w:r>
      <w:proofErr w:type="spellEnd"/>
      <w:proofErr w:type="gramEnd"/>
      <w:r w:rsidRPr="0071788B">
        <w:rPr>
          <w:rFonts w:ascii="Times New Roman" w:hAnsi="Times New Roman" w:cs="Times New Roman"/>
        </w:rPr>
        <w:t xml:space="preserve"> em até cinco dias úteis da visita à instituição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ofertante de programa de residência.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Parágrafo único. A comissão de avaliação deverá indicar,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entre seus membros, um responsável pela organização das atividades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durante a visita in loco e pelo cadastramento do relatório da visita no</w:t>
      </w:r>
      <w:r w:rsidR="007178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788B">
        <w:rPr>
          <w:rFonts w:ascii="Times New Roman" w:hAnsi="Times New Roman" w:cs="Times New Roman"/>
        </w:rPr>
        <w:t>SisCNRMS</w:t>
      </w:r>
      <w:proofErr w:type="spellEnd"/>
      <w:proofErr w:type="gramEnd"/>
      <w:r w:rsidRPr="0071788B">
        <w:rPr>
          <w:rFonts w:ascii="Times New Roman" w:hAnsi="Times New Roman" w:cs="Times New Roman"/>
        </w:rPr>
        <w:t>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11. Compete ao avaliador: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comparecer ao local da avaliação in loco na data designada,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cumprir o cronograma de avaliação e elaborar relatórios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claros, objetivos e circunstanciados;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 - comunicar à CNRMS eventual impedimento ou conflito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de interesses;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manter sigilo sobre as informações obtidas no exercício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função, divulgando-as exclusivamente à CNRMS e ao Ministério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Educação; IV - relatar à CNRMS e ao Ministério da Educação quaisquer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dificuldades encontradas no exercício da função;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 - participar, sempre que convocado, de atividades de capacitação,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reuniões e outros eventos promovidos pela CNRMS;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 - observar os procedimentos aplicáveis aos processos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avaliação;</w:t>
      </w:r>
    </w:p>
    <w:p w:rsid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 - assegurar a compatibilidade entre suas atribuições profissionais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 xml:space="preserve">regulares e o desempenho da atividade de avaliador; </w:t>
      </w:r>
      <w:proofErr w:type="gramStart"/>
      <w:r w:rsidRPr="0071788B">
        <w:rPr>
          <w:rFonts w:ascii="Times New Roman" w:hAnsi="Times New Roman" w:cs="Times New Roman"/>
        </w:rPr>
        <w:t>e</w:t>
      </w:r>
      <w:proofErr w:type="gramEnd"/>
      <w:r w:rsidR="0071788B">
        <w:rPr>
          <w:rFonts w:ascii="Times New Roman" w:hAnsi="Times New Roman" w:cs="Times New Roman"/>
        </w:rPr>
        <w:t xml:space="preserve"> 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VIII - manter atualizados seus dados cadastrais no</w:t>
      </w:r>
      <w:r w:rsidR="007178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788B">
        <w:rPr>
          <w:rFonts w:ascii="Times New Roman" w:hAnsi="Times New Roman" w:cs="Times New Roman"/>
        </w:rPr>
        <w:t>SisCNRMS</w:t>
      </w:r>
      <w:proofErr w:type="spellEnd"/>
      <w:proofErr w:type="gramEnd"/>
      <w:r w:rsidRPr="0071788B">
        <w:rPr>
          <w:rFonts w:ascii="Times New Roman" w:hAnsi="Times New Roman" w:cs="Times New Roman"/>
        </w:rPr>
        <w:t>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lastRenderedPageBreak/>
        <w:t>Art. 12. O avaliador designado para participar do processo 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avaliação faz jus a: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passagens aéreas e, quando for o caso, terrestres, de seu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domicílio à localidade do programa a ser avaliado;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 - uma diária por dia de trabalho in loco quando houver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pernoite e ½ diária quando não houver pernoite, em conformidade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com a legislação vigente;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Auxílio de Avaliação Educacional de R$ 800,00 (oitocentos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reais) por programa de residência avaliado, limitando-se a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R$ 40.000,00 (quarenta mil reais) o montante devido a cada avaliador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por exercício financeiro.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§ 1º Sobre os valores pagos a título de Auxílio de Avaliação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Educacional incidirão os descontos previstos na legislação vigente.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§ 2º O pagamento do Auxílio de Avaliação Educacional será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efetuado pelo Fundo Nacional de Desenvolvimento da Educação,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mediante transferência bancária para conta corrente de pessoa física,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em até quinze dias úteis da aprovação do relatório da avaliação in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loco pela CNRMS.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13. É vedado ao avaliador: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aceitar vantagens de qualquer natureza da parte das instituições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responsáveis pelos programas avaliados;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 - tomar parte em atividades de consultoria ou assessoria</w:t>
      </w:r>
      <w:r w:rsidR="0071788B">
        <w:rPr>
          <w:rFonts w:ascii="Times New Roman" w:hAnsi="Times New Roman" w:cs="Times New Roman"/>
        </w:rPr>
        <w:t xml:space="preserve"> </w:t>
      </w:r>
      <w:proofErr w:type="gramStart"/>
      <w:r w:rsidRPr="0071788B">
        <w:rPr>
          <w:rFonts w:ascii="Times New Roman" w:hAnsi="Times New Roman" w:cs="Times New Roman"/>
        </w:rPr>
        <w:t>educacional relacionadas aos procedimentos de avaliação ou supervisão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dos programas de residência multiprofissional e em área profissional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saúde</w:t>
      </w:r>
      <w:proofErr w:type="gramEnd"/>
      <w:r w:rsidRPr="0071788B">
        <w:rPr>
          <w:rFonts w:ascii="Times New Roman" w:hAnsi="Times New Roman" w:cs="Times New Roman"/>
        </w:rPr>
        <w:t>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participar de qualquer atividade junto às instituições por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ele avaliadas durante os seis meses seguintes à realização da visita in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loco, contados a partir de sua integração à comissão de avaliação;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 xml:space="preserve">IV - ceder a terceiros as senhas de acesso ao </w:t>
      </w:r>
      <w:proofErr w:type="spellStart"/>
      <w:proofErr w:type="gramStart"/>
      <w:r w:rsidRPr="0071788B">
        <w:rPr>
          <w:rFonts w:ascii="Times New Roman" w:hAnsi="Times New Roman" w:cs="Times New Roman"/>
        </w:rPr>
        <w:t>SisCNRMS</w:t>
      </w:r>
      <w:proofErr w:type="spellEnd"/>
      <w:proofErr w:type="gramEnd"/>
      <w:r w:rsidRPr="0071788B">
        <w:rPr>
          <w:rFonts w:ascii="Times New Roman" w:hAnsi="Times New Roman" w:cs="Times New Roman"/>
        </w:rPr>
        <w:t>,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que são pessoais e intransferíveis.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14. O avaliador será excluído do Banco de Avaliadores</w:t>
      </w:r>
      <w:r w:rsidR="0071788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da CNRMS nas seguintes situações: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 - voluntariamente, quando o solicitar;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 xml:space="preserve">II - pelo descumprimento das competências previstas no art. 11; </w:t>
      </w:r>
      <w:proofErr w:type="gramStart"/>
      <w:r w:rsidRPr="0071788B">
        <w:rPr>
          <w:rFonts w:ascii="Times New Roman" w:hAnsi="Times New Roman" w:cs="Times New Roman"/>
        </w:rPr>
        <w:t>e</w:t>
      </w:r>
      <w:proofErr w:type="gramEnd"/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III - pela realização de alguma das vedações previstas no art. 13.</w:t>
      </w:r>
    </w:p>
    <w:p w:rsidR="00BB7AE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Parágrafo único. O avaliador excluído com base nos incisos</w:t>
      </w:r>
      <w:r w:rsidR="00BB7AE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II e III não poderá candidatar-se novamente à função.</w:t>
      </w:r>
      <w:r w:rsidR="00BB7AEB">
        <w:rPr>
          <w:rFonts w:ascii="Times New Roman" w:hAnsi="Times New Roman" w:cs="Times New Roman"/>
        </w:rPr>
        <w:t xml:space="preserve"> 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15. O Banco de Avaliadores da CNRMS será renovado</w:t>
      </w:r>
      <w:r w:rsidR="00BB7AEB">
        <w:rPr>
          <w:rFonts w:ascii="Times New Roman" w:hAnsi="Times New Roman" w:cs="Times New Roman"/>
        </w:rPr>
        <w:t xml:space="preserve"> </w:t>
      </w:r>
      <w:r w:rsidRPr="0071788B">
        <w:rPr>
          <w:rFonts w:ascii="Times New Roman" w:hAnsi="Times New Roman" w:cs="Times New Roman"/>
        </w:rPr>
        <w:t>periodicamente, por meio de edital específico.</w:t>
      </w:r>
    </w:p>
    <w:p w:rsidR="00DF503D" w:rsidRPr="0071788B" w:rsidRDefault="00DF503D" w:rsidP="007178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1788B">
        <w:rPr>
          <w:rFonts w:ascii="Times New Roman" w:hAnsi="Times New Roman" w:cs="Times New Roman"/>
        </w:rPr>
        <w:t>Art. 16. Esta Resolução entra em vigor na data da sua publicação.</w:t>
      </w:r>
    </w:p>
    <w:p w:rsidR="00DF503D" w:rsidRDefault="00DF503D" w:rsidP="00BB7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AEB">
        <w:rPr>
          <w:rFonts w:ascii="Times New Roman" w:hAnsi="Times New Roman" w:cs="Times New Roman"/>
          <w:b/>
        </w:rPr>
        <w:t>AMARO HENRIQUE PESSOA LINS</w:t>
      </w:r>
    </w:p>
    <w:p w:rsidR="0037447D" w:rsidRDefault="0037447D" w:rsidP="00BB7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47D" w:rsidRDefault="0037447D" w:rsidP="003744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27, de 07.02.2013, Seção 1, página </w:t>
      </w:r>
      <w:proofErr w:type="gramStart"/>
      <w:r>
        <w:rPr>
          <w:rFonts w:ascii="Times New Roman" w:hAnsi="Times New Roman" w:cs="Times New Roman"/>
          <w:b/>
          <w:i/>
        </w:rPr>
        <w:t>07)</w:t>
      </w:r>
      <w:bookmarkStart w:id="0" w:name="_GoBack"/>
      <w:bookmarkEnd w:id="0"/>
      <w:proofErr w:type="gramEnd"/>
    </w:p>
    <w:sectPr w:rsidR="0037447D" w:rsidSect="0071788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7D" w:rsidRDefault="0037447D" w:rsidP="0037447D">
      <w:pPr>
        <w:spacing w:after="0" w:line="240" w:lineRule="auto"/>
      </w:pPr>
      <w:r>
        <w:separator/>
      </w:r>
    </w:p>
  </w:endnote>
  <w:endnote w:type="continuationSeparator" w:id="0">
    <w:p w:rsidR="0037447D" w:rsidRDefault="0037447D" w:rsidP="0037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06269"/>
      <w:docPartObj>
        <w:docPartGallery w:val="Page Numbers (Bottom of Page)"/>
        <w:docPartUnique/>
      </w:docPartObj>
    </w:sdtPr>
    <w:sdtEndPr/>
    <w:sdtContent>
      <w:p w:rsidR="0037447D" w:rsidRDefault="003744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18">
          <w:rPr>
            <w:noProof/>
          </w:rPr>
          <w:t>5</w:t>
        </w:r>
        <w:r>
          <w:fldChar w:fldCharType="end"/>
        </w:r>
      </w:p>
    </w:sdtContent>
  </w:sdt>
  <w:p w:rsidR="0037447D" w:rsidRDefault="003744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7D" w:rsidRDefault="0037447D" w:rsidP="0037447D">
      <w:pPr>
        <w:spacing w:after="0" w:line="240" w:lineRule="auto"/>
      </w:pPr>
      <w:r>
        <w:separator/>
      </w:r>
    </w:p>
  </w:footnote>
  <w:footnote w:type="continuationSeparator" w:id="0">
    <w:p w:rsidR="0037447D" w:rsidRDefault="0037447D" w:rsidP="00374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3D"/>
    <w:rsid w:val="00323518"/>
    <w:rsid w:val="003607FD"/>
    <w:rsid w:val="0037447D"/>
    <w:rsid w:val="0071788B"/>
    <w:rsid w:val="00777464"/>
    <w:rsid w:val="00A83BE1"/>
    <w:rsid w:val="00BB7AEB"/>
    <w:rsid w:val="00C20CD9"/>
    <w:rsid w:val="00D442FB"/>
    <w:rsid w:val="00DC51CB"/>
    <w:rsid w:val="00D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47D"/>
  </w:style>
  <w:style w:type="paragraph" w:styleId="Rodap">
    <w:name w:val="footer"/>
    <w:basedOn w:val="Normal"/>
    <w:link w:val="RodapChar"/>
    <w:uiPriority w:val="99"/>
    <w:unhideWhenUsed/>
    <w:rsid w:val="0037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47D"/>
  </w:style>
  <w:style w:type="paragraph" w:styleId="Rodap">
    <w:name w:val="footer"/>
    <w:basedOn w:val="Normal"/>
    <w:link w:val="RodapChar"/>
    <w:uiPriority w:val="99"/>
    <w:unhideWhenUsed/>
    <w:rsid w:val="0037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2013-02-07T10:39:00Z</dcterms:created>
  <dcterms:modified xsi:type="dcterms:W3CDTF">2013-02-07T10:41:00Z</dcterms:modified>
</cp:coreProperties>
</file>