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ATOS DO PODER LEGISLATIVO</w:t>
      </w:r>
    </w:p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C57CBA">
        <w:rPr>
          <w:rFonts w:ascii="Times New Roman" w:hAnsi="Times New Roman" w:cs="Times New Roman"/>
          <w:b/>
        </w:rPr>
        <w:t xml:space="preserve"> 12.792, DE 28 DE MARÇO DE </w:t>
      </w:r>
      <w:proofErr w:type="gramStart"/>
      <w:r w:rsidRPr="00C57CBA">
        <w:rPr>
          <w:rFonts w:ascii="Times New Roman" w:hAnsi="Times New Roman" w:cs="Times New Roman"/>
          <w:b/>
        </w:rPr>
        <w:t>2013</w:t>
      </w:r>
      <w:proofErr w:type="gramEnd"/>
    </w:p>
    <w:p w:rsidR="00C57CBA" w:rsidRDefault="00C57CBA" w:rsidP="00C57C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57CBA" w:rsidRDefault="00C57CBA" w:rsidP="00C57C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Altera a Lei n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10.683, de 28 de maio de 2003, que dispõe sobre a organização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Presidência da República e dos Ministérios, criando a Secretaria da Micro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 Pequena Empresa, cargo de Ministro de Estado e cargos em comissão, e 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Lei Complementar n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123, de 14 de dezembro de 2006; e dá outras providências.</w:t>
      </w:r>
    </w:p>
    <w:p w:rsidR="00C57CBA" w:rsidRPr="00C57CBA" w:rsidRDefault="00C57CBA" w:rsidP="00C57C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A</w:t>
      </w:r>
      <w:proofErr w:type="gramStart"/>
      <w:r w:rsidRPr="00C57C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Pr="00C57CBA">
        <w:rPr>
          <w:rFonts w:ascii="Times New Roman" w:hAnsi="Times New Roman" w:cs="Times New Roman"/>
          <w:b/>
        </w:rPr>
        <w:t>P R E S I D E N T A</w:t>
      </w:r>
      <w:r>
        <w:rPr>
          <w:rFonts w:ascii="Times New Roman" w:hAnsi="Times New Roman" w:cs="Times New Roman"/>
          <w:b/>
        </w:rPr>
        <w:t xml:space="preserve"> </w:t>
      </w:r>
      <w:r w:rsidRPr="00C57CBA">
        <w:rPr>
          <w:rFonts w:ascii="Times New Roman" w:hAnsi="Times New Roman" w:cs="Times New Roman"/>
          <w:b/>
        </w:rPr>
        <w:t xml:space="preserve"> D A</w:t>
      </w:r>
      <w:r>
        <w:rPr>
          <w:rFonts w:ascii="Times New Roman" w:hAnsi="Times New Roman" w:cs="Times New Roman"/>
          <w:b/>
        </w:rPr>
        <w:t xml:space="preserve"> </w:t>
      </w:r>
      <w:r w:rsidRPr="00C57CBA">
        <w:rPr>
          <w:rFonts w:ascii="Times New Roman" w:hAnsi="Times New Roman" w:cs="Times New Roman"/>
          <w:b/>
        </w:rPr>
        <w:t xml:space="preserve"> R E P Ú B L I C A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Faço saber que o Congresso Nacional decreta e eu sanciono a seguinte Lei: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A Lei n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10.683, de 28 de maio de 2003, passa a vigorar com as seguintes alterações: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"Art. </w:t>
      </w:r>
      <w:proofErr w:type="gramStart"/>
      <w:r w:rsidRPr="00C57C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...</w:t>
      </w:r>
      <w:proofErr w:type="gramEnd"/>
      <w:r w:rsidRPr="00C57CBA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XIII - pela Secretaria da Micro e Pequena Empresa.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C57CBA">
        <w:rPr>
          <w:rFonts w:ascii="Times New Roman" w:hAnsi="Times New Roman" w:cs="Times New Roman"/>
        </w:rPr>
        <w:t>" (NR)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"Art. </w:t>
      </w:r>
      <w:proofErr w:type="gramStart"/>
      <w:r w:rsidRPr="00C57C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...</w:t>
      </w:r>
      <w:proofErr w:type="gramEnd"/>
      <w:r w:rsidRPr="00C57CBA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§ </w:t>
      </w:r>
      <w:proofErr w:type="gramStart"/>
      <w:r w:rsidRPr="00C57C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...</w:t>
      </w:r>
      <w:proofErr w:type="gramEnd"/>
      <w:r w:rsidRPr="00C57CBA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II - pelos Ministros de Estado Chefes da Casa Civil, da </w:t>
      </w:r>
      <w:proofErr w:type="spellStart"/>
      <w:r w:rsidRPr="00C57CBA">
        <w:rPr>
          <w:rFonts w:ascii="Times New Roman" w:hAnsi="Times New Roman" w:cs="Times New Roman"/>
        </w:rPr>
        <w:t>Secretaria-Geral</w:t>
      </w:r>
      <w:proofErr w:type="spellEnd"/>
      <w:r w:rsidRPr="00C57CBA">
        <w:rPr>
          <w:rFonts w:ascii="Times New Roman" w:hAnsi="Times New Roman" w:cs="Times New Roman"/>
        </w:rPr>
        <w:t>, do Gabinete 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Segurança Institucional, da Secretaria de Assuntos Estratégicos, da Secretaria de Políticas para 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Mulheres, da Secretaria de Direitos Humanos, da Secretaria de Políticas de Promoção da Igualdade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Racial e da Secretaria da Micro e Pequena Empresa;</w:t>
      </w:r>
    </w:p>
    <w:p w:rsidR="00D442FB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C57CBA">
        <w:rPr>
          <w:rFonts w:ascii="Times New Roman" w:hAnsi="Times New Roman" w:cs="Times New Roman"/>
        </w:rPr>
        <w:t>" (NR)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"Art. 24-E.</w:t>
      </w:r>
      <w:proofErr w:type="gramEnd"/>
      <w:r w:rsidRPr="00C57CBA">
        <w:rPr>
          <w:rFonts w:ascii="Times New Roman" w:hAnsi="Times New Roman" w:cs="Times New Roman"/>
        </w:rPr>
        <w:t xml:space="preserve"> À Secretaria da Micro e Pequena Empresa compete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assessorar direta e imediatamente o Presidente da República,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especialmente: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 - na formulação, coordenação e articulação de: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a) políticas e diretrizes para o apoio à microempresa, empresa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de pequeno porte e artesanato e de fortalecimento, expansão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 formalização de Micro e Pequenas Empresas;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b) programas de incentivo e promoção de arranjos produtivos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locais relacionados às microempresas e empresas de pequeno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porte e de promoção do desenvolvimento da produção;</w:t>
      </w:r>
    </w:p>
    <w:p w:rsid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c) programas e ações de qualificação e extensão </w:t>
      </w:r>
      <w:proofErr w:type="gramStart"/>
      <w:r w:rsidRPr="00C57CBA">
        <w:rPr>
          <w:rFonts w:ascii="Times New Roman" w:hAnsi="Times New Roman" w:cs="Times New Roman"/>
        </w:rPr>
        <w:t>empresarial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voltadas</w:t>
      </w:r>
      <w:proofErr w:type="gramEnd"/>
      <w:r w:rsidRPr="00C57CBA">
        <w:rPr>
          <w:rFonts w:ascii="Times New Roman" w:hAnsi="Times New Roman" w:cs="Times New Roman"/>
        </w:rPr>
        <w:t xml:space="preserve"> à microempresa, empresa de pequeno porte e artesanato; e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d) programas de promoção da competitividade e inovação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57CBA">
        <w:rPr>
          <w:rFonts w:ascii="Times New Roman" w:hAnsi="Times New Roman" w:cs="Times New Roman"/>
        </w:rPr>
        <w:t>voltados à microempresa e empresa de pequeno porte</w:t>
      </w:r>
      <w:proofErr w:type="gramEnd"/>
      <w:r w:rsidRPr="00C57CBA">
        <w:rPr>
          <w:rFonts w:ascii="Times New Roman" w:hAnsi="Times New Roman" w:cs="Times New Roman"/>
        </w:rPr>
        <w:t>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II - na coordenação e supervisão dos Programas de Apoio às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57CBA">
        <w:rPr>
          <w:rFonts w:ascii="Times New Roman" w:hAnsi="Times New Roman" w:cs="Times New Roman"/>
        </w:rPr>
        <w:t>Empresas de Pequeno Porte custeados com recursos da União</w:t>
      </w:r>
      <w:proofErr w:type="gramEnd"/>
      <w:r w:rsidRPr="00C57CBA">
        <w:rPr>
          <w:rFonts w:ascii="Times New Roman" w:hAnsi="Times New Roman" w:cs="Times New Roman"/>
        </w:rPr>
        <w:t>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III - na articulação e incentivo à participação da microempresa,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empresa de pequeno porte e artesanato nas exportações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brasileiras de bens e serviços e sua internacionalização.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A Secretaria da Micro e Pequena Empresa participará na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 xml:space="preserve">formulação de políticas voltadas ao </w:t>
      </w:r>
      <w:proofErr w:type="spellStart"/>
      <w:r w:rsidRPr="00C57CBA">
        <w:rPr>
          <w:rFonts w:ascii="Times New Roman" w:hAnsi="Times New Roman" w:cs="Times New Roman"/>
        </w:rPr>
        <w:t>microempreendedorismo</w:t>
      </w:r>
      <w:proofErr w:type="spellEnd"/>
      <w:r w:rsidRPr="00C57CBA">
        <w:rPr>
          <w:rFonts w:ascii="Times New Roman" w:hAnsi="Times New Roman" w:cs="Times New Roman"/>
        </w:rPr>
        <w:t xml:space="preserve"> e ao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microcrédito, exercendo suas competências em articulação com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os demais órgãos da administração pública federal, em especial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com os Ministérios do Desenvolvimento, Indústria e Comércio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Exterior, da Fazenda, da Ciência, Tecnologia e Inovação e do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Trabalho e Emprego.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A Secretaria da Micro e Pequena Empresa tem como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 xml:space="preserve">estrutura básica o Gabinete, a Secretaria Executiva e até </w:t>
      </w:r>
      <w:proofErr w:type="gramStart"/>
      <w:r w:rsidRPr="00C57CBA">
        <w:rPr>
          <w:rFonts w:ascii="Times New Roman" w:hAnsi="Times New Roman" w:cs="Times New Roman"/>
        </w:rPr>
        <w:t>2</w:t>
      </w:r>
      <w:proofErr w:type="gramEnd"/>
      <w:r w:rsidRPr="00C57CBA">
        <w:rPr>
          <w:rFonts w:ascii="Times New Roman" w:hAnsi="Times New Roman" w:cs="Times New Roman"/>
        </w:rPr>
        <w:t xml:space="preserve"> (duas)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Secretarias."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Ficam transferidas as competências referentes à microempresa,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empresa de pequeno porte e artesanato do Ministério do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Desenvolvimento, Indústria e Comércio Exterior para a Secretaria da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Micro e Pequena Empresa.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O acervo patrimonial dos órgãos que tiveram suas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competências absorvidas será transferido para a Secretaria da Micro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Pequena Empresa.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lastRenderedPageBreak/>
        <w:t>Parágrafo único. O quadro de servidores efetivos dos órgãos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de que trata este artigo será transferido para a Secretaria da Micro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Pequena Empresa.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Os Ministérios do Desenvolvimento, Indústria e Comércio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Exterior e do Planejamento, Orçamento e Gestão adotarão, até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90 (noventa) dias após a data da entrada em vigor desta Lei, 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providências necessárias para a efetivação das transferências de que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trata esta Lei, inclusive quanto à movimentação das dotações orçamentárias.</w:t>
      </w:r>
      <w:r>
        <w:rPr>
          <w:rFonts w:ascii="Times New Roman" w:hAnsi="Times New Roman" w:cs="Times New Roman"/>
        </w:rPr>
        <w:t xml:space="preserve"> 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Parágrafo único. No prazo de que trata o caput, o Ministério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do Desenvolvimento, Indústria e Comércio Exterior prestará o apoio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administrativo e jurídico necessário para garantir a continuidade das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atividades da Secretaria da Micro e Pequena Empresa.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A Lei Complementar n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123, de 14 de dezembro 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2006, passa a vigorar com as seguintes alterações: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"Art. </w:t>
      </w:r>
      <w:proofErr w:type="gramStart"/>
      <w:r w:rsidRPr="00C57C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...</w:t>
      </w:r>
      <w:proofErr w:type="gramEnd"/>
      <w:r w:rsidRPr="00C57CBA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O Fórum referido no inciso II do caput deste artigo tem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por finalidade orientar e assessorar a formulação e coordenação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política nacional de desenvolvimento das microempresas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empresas de pequeno porte, bem como acompanhar e avaliar 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sua implantação, sendo presidido e coordenado pela Secretaria da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Micro e Pequena Empresa da Presidência da República.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C57CBA">
        <w:rPr>
          <w:rFonts w:ascii="Times New Roman" w:hAnsi="Times New Roman" w:cs="Times New Roman"/>
        </w:rPr>
        <w:t>" (NR)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"Art. 76.</w:t>
      </w:r>
      <w:proofErr w:type="gramEnd"/>
      <w:r w:rsidRPr="00C57CBA">
        <w:rPr>
          <w:rFonts w:ascii="Times New Roman" w:hAnsi="Times New Roman" w:cs="Times New Roman"/>
        </w:rPr>
        <w:t xml:space="preserve"> Para o cumprimento do disposto nesta Lei Complementar,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bem como para desenvolver e acompanhar políticas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públicas voltadas às microempresas e empresas de pequeno porte,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o poder público, em consonância com o Fórum Permanente das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Microempresas e Empresas de Pequeno Porte, sob a coordenação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Secretaria da Micro e Pequena Empresa da Presidência da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República, deverá incentivar e apoiar a criação de fóruns com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participação dos órgãos públicos competentes e das entidades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vinculadas ao setor.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Parágrafo único. </w:t>
      </w:r>
      <w:proofErr w:type="gramStart"/>
      <w:r w:rsidRPr="00C57CBA">
        <w:rPr>
          <w:rFonts w:ascii="Times New Roman" w:hAnsi="Times New Roman" w:cs="Times New Roman"/>
        </w:rPr>
        <w:t>A Secretaria da Micro e Pequena Empresa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Presidência da República coordenará</w:t>
      </w:r>
      <w:proofErr w:type="gramEnd"/>
      <w:r w:rsidRPr="00C57CBA">
        <w:rPr>
          <w:rFonts w:ascii="Times New Roman" w:hAnsi="Times New Roman" w:cs="Times New Roman"/>
        </w:rPr>
        <w:t xml:space="preserve"> com as entidades representativas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das microempresas e empresas de pequeno porte 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implementação dos fóruns regionais nas unidades da federação."(NR)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"Art. 85-A</w:t>
      </w:r>
      <w:proofErr w:type="gramStart"/>
      <w:r w:rsidRPr="00C57CBA">
        <w:rPr>
          <w:rFonts w:ascii="Times New Roman" w:hAnsi="Times New Roman" w:cs="Times New Roman"/>
        </w:rPr>
        <w:t>. ...</w:t>
      </w:r>
      <w:proofErr w:type="gramEnd"/>
      <w:r w:rsidRPr="00C57CBA">
        <w:rPr>
          <w:rFonts w:ascii="Times New Roman" w:hAnsi="Times New Roman" w:cs="Times New Roman"/>
        </w:rPr>
        <w:t>............................................................................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57CBA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A Secretaria da Micro e Pequena Empresa da Presidência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República juntamente com as entidades municipalistas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 de apoio e representação empresarial prestarão suporte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aos referidos agentes na forma de capacitação, estudos e pesquisas,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publicações, promoção de intercâmbio de informações 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57CBA">
        <w:rPr>
          <w:rFonts w:ascii="Times New Roman" w:hAnsi="Times New Roman" w:cs="Times New Roman"/>
        </w:rPr>
        <w:t>experiências.</w:t>
      </w:r>
      <w:proofErr w:type="gramEnd"/>
      <w:r w:rsidRPr="00C57CBA">
        <w:rPr>
          <w:rFonts w:ascii="Times New Roman" w:hAnsi="Times New Roman" w:cs="Times New Roman"/>
        </w:rPr>
        <w:t>"(NR)</w:t>
      </w:r>
    </w:p>
    <w:p w:rsid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Fica criado o cargo de Ministro de Estado Chefe da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Secretaria da Micro e Pequena Empresa da Presidência da República.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Fica criado o cargo de natureza especial de Secretário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Executivo da Secretaria da Micro e Pequena Empresa da Presidência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República.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Ficam criados os seguintes cargos em comissão do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Grupo-Direção e Assessoramento Superiores destinados à Secretaria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Micro e Pequena Empresa da Presidência da República: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 - 2 (dois) DAS-6;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II - 7 (sete) DAS-5;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III - 17 (dezessete) DAS-4;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IV - 18 (dezoito) DAS-3;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 xml:space="preserve">V - 15 (quinze) DAS-2; </w:t>
      </w:r>
      <w:proofErr w:type="gramStart"/>
      <w:r w:rsidRPr="00C57CBA">
        <w:rPr>
          <w:rFonts w:ascii="Times New Roman" w:hAnsi="Times New Roman" w:cs="Times New Roman"/>
        </w:rPr>
        <w:t>e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VI - 7 (sete) DAS-1.</w:t>
      </w:r>
    </w:p>
    <w:p w:rsid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Esta Lei entra em vigor na data de sua publicação.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10. Fica revogada a alínea h do inciso IX do art. 27 da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Lei n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10.683, de 28 de maio de 2003.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Brasília, 28 de março de 2013; 192</w:t>
      </w:r>
      <w:r>
        <w:rPr>
          <w:rFonts w:ascii="Times New Roman" w:hAnsi="Times New Roman" w:cs="Times New Roman"/>
        </w:rPr>
        <w:t>º</w:t>
      </w:r>
      <w:r w:rsidRPr="00C57CBA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C57CBA">
        <w:rPr>
          <w:rFonts w:ascii="Times New Roman" w:hAnsi="Times New Roman" w:cs="Times New Roman"/>
        </w:rPr>
        <w:t>da República.</w:t>
      </w:r>
    </w:p>
    <w:p w:rsidR="00C57CBA" w:rsidRPr="00C57CBA" w:rsidRDefault="00C57CBA" w:rsidP="00C57CB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DILMA ROUSSEFF</w:t>
      </w:r>
    </w:p>
    <w:p w:rsidR="00C57CBA" w:rsidRPr="00C57CBA" w:rsidRDefault="00C57CBA" w:rsidP="00C57CB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C57CBA">
        <w:rPr>
          <w:rFonts w:ascii="Times New Roman" w:hAnsi="Times New Roman" w:cs="Times New Roman"/>
          <w:b/>
          <w:i/>
        </w:rPr>
        <w:t>Miriam Belchior</w:t>
      </w:r>
    </w:p>
    <w:p w:rsidR="00C57CBA" w:rsidRPr="00C57CBA" w:rsidRDefault="00C57CBA" w:rsidP="00C57CB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C57CBA">
        <w:rPr>
          <w:rFonts w:ascii="Times New Roman" w:hAnsi="Times New Roman" w:cs="Times New Roman"/>
          <w:b/>
          <w:i/>
        </w:rPr>
        <w:t xml:space="preserve">Alessandro </w:t>
      </w:r>
      <w:proofErr w:type="spellStart"/>
      <w:r w:rsidRPr="00C57CBA">
        <w:rPr>
          <w:rFonts w:ascii="Times New Roman" w:hAnsi="Times New Roman" w:cs="Times New Roman"/>
          <w:b/>
          <w:i/>
        </w:rPr>
        <w:t>Golombiewski</w:t>
      </w:r>
      <w:proofErr w:type="spellEnd"/>
      <w:r w:rsidRPr="00C57CBA">
        <w:rPr>
          <w:rFonts w:ascii="Times New Roman" w:hAnsi="Times New Roman" w:cs="Times New Roman"/>
          <w:b/>
          <w:i/>
        </w:rPr>
        <w:t xml:space="preserve"> Teixeira</w:t>
      </w:r>
    </w:p>
    <w:p w:rsidR="00C57CBA" w:rsidRDefault="00C57CBA" w:rsidP="00C57CBA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</w:rPr>
      </w:pPr>
      <w:proofErr w:type="spellStart"/>
      <w:r w:rsidRPr="00C57CBA">
        <w:rPr>
          <w:rFonts w:ascii="Times New Roman" w:hAnsi="Times New Roman" w:cs="Times New Roman"/>
          <w:b/>
          <w:i/>
        </w:rPr>
        <w:t>Gleisi</w:t>
      </w:r>
      <w:proofErr w:type="spellEnd"/>
      <w:r w:rsidRPr="00C57CBA">
        <w:rPr>
          <w:rFonts w:ascii="Times New Roman" w:hAnsi="Times New Roman" w:cs="Times New Roman"/>
          <w:b/>
          <w:i/>
        </w:rPr>
        <w:t xml:space="preserve"> Hoffmann</w:t>
      </w:r>
    </w:p>
    <w:p w:rsidR="00C57CBA" w:rsidRDefault="00C57CBA" w:rsidP="00C57C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7CBA" w:rsidRDefault="00C57CBA" w:rsidP="00C57C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7CBA" w:rsidRDefault="00C57CBA" w:rsidP="00C57C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 61, de 01.04.2013, Seção 1, página 01/02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C57CBA" w:rsidRDefault="00C57CBA" w:rsidP="00C57C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SECRETARIA DE EDUCAÇÃO PROFISSIONAL E TECNOLÓGICA</w:t>
      </w:r>
    </w:p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57CBA">
        <w:rPr>
          <w:rFonts w:ascii="Times New Roman" w:hAnsi="Times New Roman" w:cs="Times New Roman"/>
          <w:b/>
        </w:rPr>
        <w:t xml:space="preserve"> 11, DE 27 DE MARÇO DE </w:t>
      </w:r>
      <w:proofErr w:type="gramStart"/>
      <w:r w:rsidRPr="00C57CBA">
        <w:rPr>
          <w:rFonts w:ascii="Times New Roman" w:hAnsi="Times New Roman" w:cs="Times New Roman"/>
          <w:b/>
        </w:rPr>
        <w:t>2013</w:t>
      </w:r>
      <w:proofErr w:type="gramEnd"/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O SECRETÁRIO DE EDUCAÇÃO PROFISSIONAL E TECNOLÓGICA DO MINISTÉRIO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DA EDUCAÇÃO, no uso das atribuições que lhe confere o art. 13, Anexo I, do Decreto n° 7.690, 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02 de março de 2012, e considerando o disposto no art. 214 da Constituição Federal, na Lei Complementar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nº 101 de 04 de maio de 2000, na Lei nº 12.465 de 12 de agosto de 2011, na Lei nº 12.513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de 26 de outubro de 2011, no Decreto nº 6.170 de 25 de julho de 2007, na Resolução FNDE nº 31 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1º de julho de 2011, na Resolução FNDE nº 07, de 20 de março de 2013, na Portaria/MEC nº 168,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57CBA">
        <w:rPr>
          <w:rFonts w:ascii="Times New Roman" w:hAnsi="Times New Roman" w:cs="Times New Roman"/>
        </w:rPr>
        <w:t>7</w:t>
      </w:r>
      <w:proofErr w:type="gramEnd"/>
      <w:r w:rsidRPr="00C57CBA">
        <w:rPr>
          <w:rFonts w:ascii="Times New Roman" w:hAnsi="Times New Roman" w:cs="Times New Roman"/>
        </w:rPr>
        <w:t xml:space="preserve"> de março de 2013 e na Nota Técnica nº 132/2013, da Diretoria de Integração das Redes de Educação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profissional e Tecnológica, resolve: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1º Tornar público que o Serviço Nacional de Aprendizagem Comercial - SENAC, o Serviço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Nacional de Aprendizagem Industrial - SENAI, o Serviço Nacional de Aprendizagem Rural - SENAR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o Serviço Nacional de Aprendizagem do Transporte - SENAT, na condição de parceiros ofertantes de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vagas em cursos de educação profissional técnica de nível médio e cursos de formação inicial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continuada ou qualificação profissional, no âmbito da Bolsa-Formação, estão aptos a receber recursos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financeiros da ordem, respectivamente, de: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a) R$ 148.436.790,00 (cento e quarenta e oito milhões, quatrocentos e trinta e seis mil e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setecentos e noventa reais);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b) R$ 229.317.640,00 (duzentos e vinte e nove milhões, trezentos e dezessete mil e seiscentos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 quarenta reais);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c) R$ 9.598.770,00 (</w:t>
      </w:r>
      <w:proofErr w:type="gramStart"/>
      <w:r w:rsidRPr="00C57CBA">
        <w:rPr>
          <w:rFonts w:ascii="Times New Roman" w:hAnsi="Times New Roman" w:cs="Times New Roman"/>
        </w:rPr>
        <w:t>nove milhões, quinhentos e noventa e</w:t>
      </w:r>
      <w:proofErr w:type="gramEnd"/>
      <w:r w:rsidRPr="00C57CBA">
        <w:rPr>
          <w:rFonts w:ascii="Times New Roman" w:hAnsi="Times New Roman" w:cs="Times New Roman"/>
        </w:rPr>
        <w:t xml:space="preserve"> oito mil e setecentos e setenta reais);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d) R$ 17.658.510,00 (dezessete milhões, seiscentos e cinquenta e oito mil e quinhentos e dez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reais), respectivamente, perfazendo o total de R$ 405.011.710,00 (quatrocentos e cinco milhões, onze mil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 setecentos e dez reais), visando atender o custeio da ação Bolsa-Formação no âmbito do Programa, no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exercício de 2013, conforme detalhamento descrito no Anexo I desta Portaria.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Parágrafo único. Os créditos orçamentários obedecem à classificação Funcional Programática: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12.363.2031.20</w:t>
      </w:r>
      <w:proofErr w:type="gramStart"/>
      <w:r w:rsidRPr="00C57CBA">
        <w:rPr>
          <w:rFonts w:ascii="Times New Roman" w:hAnsi="Times New Roman" w:cs="Times New Roman"/>
        </w:rPr>
        <w:t>RW.</w:t>
      </w:r>
      <w:proofErr w:type="gramEnd"/>
      <w:r w:rsidRPr="00C57CBA">
        <w:rPr>
          <w:rFonts w:ascii="Times New Roman" w:hAnsi="Times New Roman" w:cs="Times New Roman"/>
        </w:rPr>
        <w:t>0001 - Apoio à Formação Profissional e Tecnológica - Plano Interno QFP05P0602P</w:t>
      </w:r>
      <w:r>
        <w:rPr>
          <w:rFonts w:ascii="Times New Roman" w:hAnsi="Times New Roman" w:cs="Times New Roman"/>
        </w:rPr>
        <w:t xml:space="preserve"> </w:t>
      </w:r>
      <w:r w:rsidRPr="00C57CBA">
        <w:rPr>
          <w:rFonts w:ascii="Times New Roman" w:hAnsi="Times New Roman" w:cs="Times New Roman"/>
        </w:rPr>
        <w:t>Bolsa-Formação PRONATEC - Sistema "S".</w:t>
      </w:r>
    </w:p>
    <w:p w:rsidR="00C57CBA" w:rsidRPr="00C57CBA" w:rsidRDefault="00C57CBA" w:rsidP="00C57C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7CBA">
        <w:rPr>
          <w:rFonts w:ascii="Times New Roman" w:hAnsi="Times New Roman" w:cs="Times New Roman"/>
        </w:rPr>
        <w:t>Art. 2º - Esta Portaria entra em vigor na data de sua publicação.</w:t>
      </w:r>
    </w:p>
    <w:p w:rsid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MARCO ANTONIO DE OLIVEIRA</w:t>
      </w:r>
    </w:p>
    <w:p w:rsidR="00C57CBA" w:rsidRP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CBA">
        <w:rPr>
          <w:rFonts w:ascii="Times New Roman" w:hAnsi="Times New Roman" w:cs="Times New Roman"/>
          <w:b/>
        </w:rPr>
        <w:t>ANEXO I</w:t>
      </w:r>
    </w:p>
    <w:p w:rsid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2014"/>
      </w:tblGrid>
      <w:tr w:rsidR="00C57CBA" w:rsidTr="00C57CBA">
        <w:tc>
          <w:tcPr>
            <w:tcW w:w="2093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3118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1985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7CBA">
              <w:rPr>
                <w:rFonts w:ascii="Times New Roman" w:hAnsi="Times New Roman" w:cs="Times New Roman"/>
              </w:rPr>
              <w:t>Total Horas-Aluno</w:t>
            </w:r>
            <w:proofErr w:type="gramEnd"/>
          </w:p>
        </w:tc>
        <w:tc>
          <w:tcPr>
            <w:tcW w:w="2014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Total (R$)</w:t>
            </w:r>
          </w:p>
        </w:tc>
      </w:tr>
      <w:tr w:rsidR="00C57CBA" w:rsidTr="00C57CBA">
        <w:tc>
          <w:tcPr>
            <w:tcW w:w="2093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03.709.814/0001-98</w:t>
            </w:r>
          </w:p>
        </w:tc>
        <w:tc>
          <w:tcPr>
            <w:tcW w:w="3118" w:type="dxa"/>
          </w:tcPr>
          <w:p w:rsidR="00C57CBA" w:rsidRDefault="00C57CBA" w:rsidP="00C57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Serviço Nacional de Aprendizagem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CBA">
              <w:rPr>
                <w:rFonts w:ascii="Times New Roman" w:hAnsi="Times New Roman" w:cs="Times New Roman"/>
              </w:rPr>
              <w:t>Comercial - SENAC</w:t>
            </w:r>
          </w:p>
        </w:tc>
        <w:tc>
          <w:tcPr>
            <w:tcW w:w="1985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148.436.790</w:t>
            </w:r>
          </w:p>
        </w:tc>
        <w:tc>
          <w:tcPr>
            <w:tcW w:w="2014" w:type="dxa"/>
          </w:tcPr>
          <w:p w:rsidR="00C57CBA" w:rsidRPr="003F5A2D" w:rsidRDefault="00C57CBA" w:rsidP="008B2D50">
            <w:pPr>
              <w:jc w:val="both"/>
              <w:rPr>
                <w:rFonts w:ascii="Times New Roman" w:hAnsi="Times New Roman" w:cs="Times New Roman"/>
              </w:rPr>
            </w:pPr>
            <w:r w:rsidRPr="003F5A2D">
              <w:rPr>
                <w:rFonts w:ascii="Times New Roman" w:hAnsi="Times New Roman" w:cs="Times New Roman"/>
              </w:rPr>
              <w:t>R$ 148.436.790,00</w:t>
            </w:r>
          </w:p>
        </w:tc>
      </w:tr>
      <w:tr w:rsidR="00C57CBA" w:rsidTr="00C57CBA">
        <w:tc>
          <w:tcPr>
            <w:tcW w:w="2093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03.795.071/0001-16</w:t>
            </w:r>
          </w:p>
        </w:tc>
        <w:tc>
          <w:tcPr>
            <w:tcW w:w="3118" w:type="dxa"/>
          </w:tcPr>
          <w:p w:rsidR="00C57CBA" w:rsidRDefault="00C57CBA" w:rsidP="00C57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Serviço Nacional de Aprendizagem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CBA">
              <w:rPr>
                <w:rFonts w:ascii="Times New Roman" w:hAnsi="Times New Roman" w:cs="Times New Roman"/>
              </w:rPr>
              <w:t>Industrial - SENAI</w:t>
            </w:r>
          </w:p>
        </w:tc>
        <w:tc>
          <w:tcPr>
            <w:tcW w:w="1985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22.931.764</w:t>
            </w:r>
          </w:p>
        </w:tc>
        <w:tc>
          <w:tcPr>
            <w:tcW w:w="2014" w:type="dxa"/>
          </w:tcPr>
          <w:p w:rsidR="00C57CBA" w:rsidRPr="003F5A2D" w:rsidRDefault="00C57CBA" w:rsidP="008B2D50">
            <w:pPr>
              <w:jc w:val="both"/>
              <w:rPr>
                <w:rFonts w:ascii="Times New Roman" w:hAnsi="Times New Roman" w:cs="Times New Roman"/>
              </w:rPr>
            </w:pPr>
            <w:r w:rsidRPr="003F5A2D">
              <w:rPr>
                <w:rFonts w:ascii="Times New Roman" w:hAnsi="Times New Roman" w:cs="Times New Roman"/>
              </w:rPr>
              <w:t>R$ 229.317.640,00</w:t>
            </w:r>
          </w:p>
        </w:tc>
      </w:tr>
      <w:tr w:rsidR="00C57CBA" w:rsidTr="00C57CBA">
        <w:tc>
          <w:tcPr>
            <w:tcW w:w="2093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37.138.245/0001-90</w:t>
            </w:r>
          </w:p>
        </w:tc>
        <w:tc>
          <w:tcPr>
            <w:tcW w:w="3118" w:type="dxa"/>
          </w:tcPr>
          <w:p w:rsidR="00C57CBA" w:rsidRDefault="00C57CBA" w:rsidP="00C57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Serviço Nacional de Aprendizagem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CBA">
              <w:rPr>
                <w:rFonts w:ascii="Times New Roman" w:hAnsi="Times New Roman" w:cs="Times New Roman"/>
              </w:rPr>
              <w:t xml:space="preserve">Rural </w:t>
            </w:r>
            <w:r>
              <w:rPr>
                <w:rFonts w:ascii="Times New Roman" w:hAnsi="Times New Roman" w:cs="Times New Roman"/>
              </w:rPr>
              <w:t>–</w:t>
            </w:r>
            <w:r w:rsidRPr="00C57CBA">
              <w:rPr>
                <w:rFonts w:ascii="Times New Roman" w:hAnsi="Times New Roman" w:cs="Times New Roman"/>
              </w:rPr>
              <w:t xml:space="preserve"> SENAR</w:t>
            </w:r>
          </w:p>
        </w:tc>
        <w:tc>
          <w:tcPr>
            <w:tcW w:w="1985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959.877</w:t>
            </w:r>
          </w:p>
        </w:tc>
        <w:tc>
          <w:tcPr>
            <w:tcW w:w="2014" w:type="dxa"/>
          </w:tcPr>
          <w:p w:rsidR="00C57CBA" w:rsidRPr="003F5A2D" w:rsidRDefault="00C57CBA" w:rsidP="008B2D50">
            <w:pPr>
              <w:jc w:val="both"/>
              <w:rPr>
                <w:rFonts w:ascii="Times New Roman" w:hAnsi="Times New Roman" w:cs="Times New Roman"/>
              </w:rPr>
            </w:pPr>
            <w:r w:rsidRPr="003F5A2D">
              <w:rPr>
                <w:rFonts w:ascii="Times New Roman" w:hAnsi="Times New Roman" w:cs="Times New Roman"/>
              </w:rPr>
              <w:t>R$ 9.598.770,00</w:t>
            </w:r>
          </w:p>
        </w:tc>
      </w:tr>
      <w:tr w:rsidR="00C57CBA" w:rsidTr="00C57CBA">
        <w:tc>
          <w:tcPr>
            <w:tcW w:w="2093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73.471.963/0001-47</w:t>
            </w:r>
          </w:p>
        </w:tc>
        <w:tc>
          <w:tcPr>
            <w:tcW w:w="3118" w:type="dxa"/>
          </w:tcPr>
          <w:p w:rsidR="00C57CBA" w:rsidRDefault="00C57CBA" w:rsidP="00C57C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Serviço Nacional de Aprendizagem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CBA">
              <w:rPr>
                <w:rFonts w:ascii="Times New Roman" w:hAnsi="Times New Roman" w:cs="Times New Roman"/>
              </w:rPr>
              <w:t>do Transporte - SENAT</w:t>
            </w:r>
          </w:p>
        </w:tc>
        <w:tc>
          <w:tcPr>
            <w:tcW w:w="1985" w:type="dxa"/>
          </w:tcPr>
          <w:p w:rsidR="00C57CBA" w:rsidRDefault="00C57CBA" w:rsidP="00C57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1.765.851</w:t>
            </w:r>
          </w:p>
        </w:tc>
        <w:tc>
          <w:tcPr>
            <w:tcW w:w="2014" w:type="dxa"/>
          </w:tcPr>
          <w:p w:rsidR="00C57CBA" w:rsidRPr="003F5A2D" w:rsidRDefault="00C57CBA" w:rsidP="008B2D50">
            <w:pPr>
              <w:jc w:val="both"/>
              <w:rPr>
                <w:rFonts w:ascii="Times New Roman" w:hAnsi="Times New Roman" w:cs="Times New Roman"/>
              </w:rPr>
            </w:pPr>
            <w:r w:rsidRPr="003F5A2D">
              <w:rPr>
                <w:rFonts w:ascii="Times New Roman" w:hAnsi="Times New Roman" w:cs="Times New Roman"/>
              </w:rPr>
              <w:t>R$ 17.658.510,00</w:t>
            </w:r>
          </w:p>
        </w:tc>
      </w:tr>
      <w:tr w:rsidR="00C57CBA" w:rsidTr="00C57CBA">
        <w:tc>
          <w:tcPr>
            <w:tcW w:w="7196" w:type="dxa"/>
            <w:gridSpan w:val="3"/>
          </w:tcPr>
          <w:p w:rsidR="00C57CBA" w:rsidRDefault="00C57CBA" w:rsidP="00C57CBA">
            <w:pPr>
              <w:rPr>
                <w:rFonts w:ascii="Times New Roman" w:hAnsi="Times New Roman" w:cs="Times New Roman"/>
                <w:b/>
              </w:rPr>
            </w:pPr>
            <w:r w:rsidRPr="00C57C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14" w:type="dxa"/>
          </w:tcPr>
          <w:p w:rsidR="00C57CBA" w:rsidRPr="003F5A2D" w:rsidRDefault="00C57CBA" w:rsidP="008B2D50">
            <w:pPr>
              <w:jc w:val="both"/>
              <w:rPr>
                <w:rFonts w:ascii="Times New Roman" w:hAnsi="Times New Roman" w:cs="Times New Roman"/>
              </w:rPr>
            </w:pPr>
            <w:r w:rsidRPr="003F5A2D">
              <w:rPr>
                <w:rFonts w:ascii="Times New Roman" w:hAnsi="Times New Roman" w:cs="Times New Roman"/>
              </w:rPr>
              <w:t>R$ 405.011.710,00</w:t>
            </w:r>
          </w:p>
        </w:tc>
      </w:tr>
    </w:tbl>
    <w:p w:rsidR="00C57CBA" w:rsidRDefault="00C57CBA" w:rsidP="00C5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CBA" w:rsidRDefault="00C57CBA" w:rsidP="00C57C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61, de 01.04.2013, Seção 1, página </w:t>
      </w:r>
      <w:r>
        <w:rPr>
          <w:rFonts w:ascii="Times New Roman" w:hAnsi="Times New Roman" w:cs="Times New Roman"/>
          <w:b/>
          <w:i/>
        </w:rPr>
        <w:t>38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</w:t>
      </w:r>
    </w:p>
    <w:sectPr w:rsidR="00C57CBA" w:rsidSect="00C57CB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BA" w:rsidRDefault="00C57CBA" w:rsidP="00C57CBA">
      <w:pPr>
        <w:spacing w:after="0" w:line="240" w:lineRule="auto"/>
      </w:pPr>
      <w:r>
        <w:separator/>
      </w:r>
    </w:p>
  </w:endnote>
  <w:endnote w:type="continuationSeparator" w:id="0">
    <w:p w:rsidR="00C57CBA" w:rsidRDefault="00C57CBA" w:rsidP="00C5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276713"/>
      <w:docPartObj>
        <w:docPartGallery w:val="Page Numbers (Bottom of Page)"/>
        <w:docPartUnique/>
      </w:docPartObj>
    </w:sdtPr>
    <w:sdtContent>
      <w:p w:rsidR="00C57CBA" w:rsidRDefault="00C57C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7CBA" w:rsidRDefault="00C5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BA" w:rsidRDefault="00C57CBA" w:rsidP="00C57CBA">
      <w:pPr>
        <w:spacing w:after="0" w:line="240" w:lineRule="auto"/>
      </w:pPr>
      <w:r>
        <w:separator/>
      </w:r>
    </w:p>
  </w:footnote>
  <w:footnote w:type="continuationSeparator" w:id="0">
    <w:p w:rsidR="00C57CBA" w:rsidRDefault="00C57CBA" w:rsidP="00C5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BA"/>
    <w:rsid w:val="003607FD"/>
    <w:rsid w:val="00C20CD9"/>
    <w:rsid w:val="00C57CB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CBA"/>
  </w:style>
  <w:style w:type="paragraph" w:styleId="Rodap">
    <w:name w:val="footer"/>
    <w:basedOn w:val="Normal"/>
    <w:link w:val="RodapChar"/>
    <w:uiPriority w:val="99"/>
    <w:unhideWhenUsed/>
    <w:rsid w:val="00C5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CBA"/>
  </w:style>
  <w:style w:type="table" w:styleId="Tabelacomgrade">
    <w:name w:val="Table Grid"/>
    <w:basedOn w:val="Tabelanormal"/>
    <w:uiPriority w:val="59"/>
    <w:rsid w:val="00C5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CBA"/>
  </w:style>
  <w:style w:type="paragraph" w:styleId="Rodap">
    <w:name w:val="footer"/>
    <w:basedOn w:val="Normal"/>
    <w:link w:val="RodapChar"/>
    <w:uiPriority w:val="99"/>
    <w:unhideWhenUsed/>
    <w:rsid w:val="00C57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CBA"/>
  </w:style>
  <w:style w:type="table" w:styleId="Tabelacomgrade">
    <w:name w:val="Table Grid"/>
    <w:basedOn w:val="Tabelanormal"/>
    <w:uiPriority w:val="59"/>
    <w:rsid w:val="00C5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2013-04-01T11:10:00Z</dcterms:created>
  <dcterms:modified xsi:type="dcterms:W3CDTF">2013-04-01T11:27:00Z</dcterms:modified>
</cp:coreProperties>
</file>