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MINISTÉRIO DA EDUCAÇÃO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EMPRESA BRASILEIRA DE SERVIÇOS HOSPITALARES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67D92">
        <w:rPr>
          <w:rFonts w:ascii="Times New Roman" w:hAnsi="Times New Roman" w:cs="Times New Roman"/>
          <w:b/>
        </w:rPr>
        <w:t xml:space="preserve"> 56, DE 19 DE OUTUBRO DE </w:t>
      </w:r>
      <w:proofErr w:type="gramStart"/>
      <w:r w:rsidRPr="00467D92">
        <w:rPr>
          <w:rFonts w:ascii="Times New Roman" w:hAnsi="Times New Roman" w:cs="Times New Roman"/>
          <w:b/>
        </w:rPr>
        <w:t>2012</w:t>
      </w:r>
      <w:proofErr w:type="gramEnd"/>
    </w:p>
    <w:p w:rsidR="00467D92" w:rsidRDefault="00467D92" w:rsidP="00AC3D5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67D92" w:rsidRDefault="00467D92" w:rsidP="00AC3D5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Autoriza a descentralização de créditos orçamentários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aos Hospitais Universitários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Federais no âmbito do Programa Nacional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Reestruturação dos Hospitais Universitários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Federais- REHUF de que trata o Decreto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nº 7.082, de 27 de janeiro de 2010.</w:t>
      </w:r>
    </w:p>
    <w:p w:rsidR="00467D92" w:rsidRPr="00467D92" w:rsidRDefault="00467D92" w:rsidP="00AC3D5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O PRESIDENTE DA EMPRESA BRASILEIRA DE SERVIÇOS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HOSPITALARES, no uso da atribuição que lhe conferem 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inciso IV, artigo 18 do Decreto nº 7.661, de 28 de dezembro de 2011,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 inciso XII do artigo 25 do Regimento Interno e a delegação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competência constante do artigo 1º da Portaria GM/MEC nº 442,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25 de abril de 2012, </w:t>
      </w:r>
      <w:proofErr w:type="gramStart"/>
      <w:r w:rsidRPr="00467D92">
        <w:rPr>
          <w:rFonts w:ascii="Times New Roman" w:hAnsi="Times New Roman" w:cs="Times New Roman"/>
        </w:rPr>
        <w:t>e</w:t>
      </w:r>
      <w:proofErr w:type="gramEnd"/>
    </w:p>
    <w:p w:rsidR="00D442FB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 xml:space="preserve">Considerando o disposto na Lei Complementar nº 101, de </w:t>
      </w:r>
      <w:proofErr w:type="gramStart"/>
      <w:r w:rsidRPr="00467D92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maio de 2000;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Considerando o disposto no § 1º artigo 8º da Lei nº 12.465,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12 de agosto de 2011;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Considerando o disposto no artigo 20 do Decreto nº 93.872,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23 de dezembro de 1983;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Considerando o disposto nos artigos 2º e 3º do Decreto n°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825, de 25 de maio de 1993;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Considerando o disposto no Decreto nº 6.170, de 25 de julho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2007;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Considerando o Decreto nº 7.082, de 27 de janeiro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2010;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Considerando o disposto na Portaria Interministerial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CGU/MF/MP nº 507, de 24 de novembro de 2011, e,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Considerando o Processo Administrativo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23034.005948/2012-10, do Fundo Nacional de Desenvolvimento 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Educação, resolve: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1º Autorizar a descentralização de créditos orçamentários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no montante de R$ 59.263.150,00 (cinquenta e nove milhões,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duzentos e sessenta e três mil, cento e cinquenta reais) para os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Hospitais Universitários Federais, no âmbito do Programa Nacional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Reestruturação dos Hospitais Universitários Federais - REHUF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que trata o Decreto nº 7.082, de 27 de janeiro de 2010, em conformidade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com o detalhamento constante do Anexo a esta Portaria.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 xml:space="preserve">Art. 2º A descentralização dos referidos créditos </w:t>
      </w:r>
      <w:proofErr w:type="gramStart"/>
      <w:r w:rsidRPr="00467D92">
        <w:rPr>
          <w:rFonts w:ascii="Times New Roman" w:hAnsi="Times New Roman" w:cs="Times New Roman"/>
        </w:rPr>
        <w:t>orçamentários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objetiva</w:t>
      </w:r>
      <w:proofErr w:type="gramEnd"/>
      <w:r w:rsidRPr="00467D92">
        <w:rPr>
          <w:rFonts w:ascii="Times New Roman" w:hAnsi="Times New Roman" w:cs="Times New Roman"/>
        </w:rPr>
        <w:t xml:space="preserve"> criar condições materiais e institucionais para que os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hospitais universitários federais possam desempenhar plenamente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suas funções em relação às dimensões de ensino, pesquisa e extensão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 à dimensão da assistência à saúde, nos termos do Decreto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7.082/2010, que instituiu Programa Nacional de Reestruturação dos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Hospitais Universitários Federais- REHUF.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3º A definição dos montantes referentes a cada um dos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Hospitais Universitários Federais, detalhados no Anexo a esta Portaria,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decorre das demandas de cada unidade hospitalar consolidada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no processo administrativo nº 23034.005948/2012-10, pelo qual foi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realizado o Pregão Eletrônico 47/2012 do Fundo Nacional de Desenvolvimento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da Educação - FNDE, cujo objeto é o Registro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Preços para a aquisição de sistemas de vídeo endoscopia, no âmbito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do Programa de Reestruturação dos Hospitais Universitários Federais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- REHUF.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4º Os créditos orçamentários serão descentralizados em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favor das Unidades Gestoras especificadas no Anexo a esta Portaria,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obedecendo à seguinte classificação institucional, funcional programática,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grupos de despesas, fontes de recursos e valores:</w:t>
      </w:r>
    </w:p>
    <w:p w:rsidR="00AC3D56" w:rsidRPr="00467D92" w:rsidRDefault="00AC3D56" w:rsidP="00AC3D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 xml:space="preserve">Unidade Orçamentária: </w:t>
      </w:r>
      <w:proofErr w:type="gramStart"/>
      <w:r w:rsidRPr="00467D92">
        <w:rPr>
          <w:rFonts w:ascii="Times New Roman" w:hAnsi="Times New Roman" w:cs="Times New Roman"/>
        </w:rPr>
        <w:t>26101 - Ministério</w:t>
      </w:r>
      <w:proofErr w:type="gramEnd"/>
      <w:r w:rsidRPr="00467D92">
        <w:rPr>
          <w:rFonts w:ascii="Times New Roman" w:hAnsi="Times New Roman" w:cs="Times New Roman"/>
        </w:rPr>
        <w:t xml:space="preserve"> da Educação</w:t>
      </w:r>
    </w:p>
    <w:p w:rsidR="00AC3D56" w:rsidRPr="00467D92" w:rsidRDefault="00AC3D56" w:rsidP="00AC3D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Funcional Programática: 12.364.2032.20</w:t>
      </w:r>
      <w:proofErr w:type="gramStart"/>
      <w:r w:rsidRPr="00467D92">
        <w:rPr>
          <w:rFonts w:ascii="Times New Roman" w:hAnsi="Times New Roman" w:cs="Times New Roman"/>
        </w:rPr>
        <w:t>RX.</w:t>
      </w:r>
      <w:proofErr w:type="gramEnd"/>
      <w:r w:rsidRPr="00467D92">
        <w:rPr>
          <w:rFonts w:ascii="Times New Roman" w:hAnsi="Times New Roman" w:cs="Times New Roman"/>
        </w:rPr>
        <w:t xml:space="preserve">0001 </w:t>
      </w:r>
      <w:r>
        <w:rPr>
          <w:rFonts w:ascii="Times New Roman" w:hAnsi="Times New Roman" w:cs="Times New Roman"/>
        </w:rPr>
        <w:t>–</w:t>
      </w:r>
      <w:r w:rsidRPr="00467D92">
        <w:rPr>
          <w:rFonts w:ascii="Times New Roman" w:hAnsi="Times New Roman" w:cs="Times New Roman"/>
        </w:rPr>
        <w:t xml:space="preserve"> Reestruturação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dos Hospitais Universitários Federais</w:t>
      </w:r>
    </w:p>
    <w:p w:rsidR="00AC3D56" w:rsidRPr="00467D92" w:rsidRDefault="00AC3D56" w:rsidP="00AC3D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Programa de Trabalho Resumido - SIAFI: 001749</w:t>
      </w:r>
    </w:p>
    <w:p w:rsidR="00AC3D56" w:rsidRDefault="00AC3D56" w:rsidP="00467D9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AC3D56" w:rsidTr="00BC27D5">
        <w:tc>
          <w:tcPr>
            <w:tcW w:w="2962" w:type="dxa"/>
          </w:tcPr>
          <w:p w:rsidR="00AC3D56" w:rsidRDefault="00AC3D56" w:rsidP="00467D9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467D92">
              <w:rPr>
                <w:rFonts w:ascii="Times New Roman" w:hAnsi="Times New Roman" w:cs="Times New Roman"/>
              </w:rPr>
              <w:t>Grupo de Despesa</w:t>
            </w:r>
          </w:p>
        </w:tc>
        <w:tc>
          <w:tcPr>
            <w:tcW w:w="3070" w:type="dxa"/>
          </w:tcPr>
          <w:p w:rsidR="00AC3D56" w:rsidRDefault="00AC3D56" w:rsidP="00467D92">
            <w:pPr>
              <w:jc w:val="both"/>
              <w:rPr>
                <w:rFonts w:ascii="Times New Roman" w:hAnsi="Times New Roman" w:cs="Times New Roman"/>
              </w:rPr>
            </w:pPr>
            <w:r w:rsidRPr="00467D92">
              <w:rPr>
                <w:rFonts w:ascii="Times New Roman" w:hAnsi="Times New Roman" w:cs="Times New Roman"/>
              </w:rPr>
              <w:t>Fonte SOF</w:t>
            </w:r>
          </w:p>
        </w:tc>
        <w:tc>
          <w:tcPr>
            <w:tcW w:w="3070" w:type="dxa"/>
          </w:tcPr>
          <w:p w:rsidR="00AC3D56" w:rsidRDefault="00AC3D56" w:rsidP="00467D92">
            <w:pPr>
              <w:jc w:val="both"/>
              <w:rPr>
                <w:rFonts w:ascii="Times New Roman" w:hAnsi="Times New Roman" w:cs="Times New Roman"/>
              </w:rPr>
            </w:pPr>
            <w:r w:rsidRPr="00467D92">
              <w:rPr>
                <w:rFonts w:ascii="Times New Roman" w:hAnsi="Times New Roman" w:cs="Times New Roman"/>
              </w:rPr>
              <w:t>Valor em R</w:t>
            </w: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AC3D56" w:rsidTr="00BC27D5">
        <w:tc>
          <w:tcPr>
            <w:tcW w:w="2962" w:type="dxa"/>
          </w:tcPr>
          <w:p w:rsidR="00AC3D56" w:rsidRDefault="00AC3D56" w:rsidP="00467D92">
            <w:pPr>
              <w:jc w:val="both"/>
              <w:rPr>
                <w:rFonts w:ascii="Times New Roman" w:hAnsi="Times New Roman" w:cs="Times New Roman"/>
              </w:rPr>
            </w:pPr>
            <w:r w:rsidRPr="00467D92">
              <w:rPr>
                <w:rFonts w:ascii="Times New Roman" w:hAnsi="Times New Roman" w:cs="Times New Roman"/>
              </w:rPr>
              <w:t>4 - Investimentos</w:t>
            </w:r>
          </w:p>
        </w:tc>
        <w:tc>
          <w:tcPr>
            <w:tcW w:w="3070" w:type="dxa"/>
          </w:tcPr>
          <w:p w:rsidR="00AC3D56" w:rsidRDefault="00AC3D56" w:rsidP="00467D92">
            <w:pPr>
              <w:jc w:val="both"/>
              <w:rPr>
                <w:rFonts w:ascii="Times New Roman" w:hAnsi="Times New Roman" w:cs="Times New Roman"/>
              </w:rPr>
            </w:pPr>
            <w:r w:rsidRPr="00467D92">
              <w:rPr>
                <w:rFonts w:ascii="Times New Roman" w:hAnsi="Times New Roman" w:cs="Times New Roman"/>
              </w:rPr>
              <w:t>0100 - Recursos Ordinários</w:t>
            </w:r>
          </w:p>
        </w:tc>
        <w:tc>
          <w:tcPr>
            <w:tcW w:w="3070" w:type="dxa"/>
          </w:tcPr>
          <w:p w:rsidR="00AC3D56" w:rsidRDefault="00AC3D56" w:rsidP="00467D92">
            <w:pPr>
              <w:jc w:val="both"/>
              <w:rPr>
                <w:rFonts w:ascii="Times New Roman" w:hAnsi="Times New Roman" w:cs="Times New Roman"/>
              </w:rPr>
            </w:pPr>
            <w:r w:rsidRPr="00467D92">
              <w:rPr>
                <w:rFonts w:ascii="Times New Roman" w:hAnsi="Times New Roman" w:cs="Times New Roman"/>
              </w:rPr>
              <w:t>59.263.150,00</w:t>
            </w:r>
          </w:p>
        </w:tc>
      </w:tr>
      <w:tr w:rsidR="009F6BD6" w:rsidTr="00BC27D5">
        <w:tc>
          <w:tcPr>
            <w:tcW w:w="6032" w:type="dxa"/>
            <w:gridSpan w:val="2"/>
          </w:tcPr>
          <w:p w:rsidR="009F6BD6" w:rsidRDefault="009F6BD6" w:rsidP="00467D92">
            <w:pPr>
              <w:jc w:val="both"/>
              <w:rPr>
                <w:rFonts w:ascii="Times New Roman" w:hAnsi="Times New Roman" w:cs="Times New Roman"/>
              </w:rPr>
            </w:pPr>
            <w:r w:rsidRPr="00467D92">
              <w:rPr>
                <w:rFonts w:ascii="Times New Roman" w:hAnsi="Times New Roman" w:cs="Times New Roman"/>
              </w:rPr>
              <w:lastRenderedPageBreak/>
              <w:t>TOTAL</w:t>
            </w:r>
          </w:p>
        </w:tc>
        <w:tc>
          <w:tcPr>
            <w:tcW w:w="3070" w:type="dxa"/>
          </w:tcPr>
          <w:p w:rsidR="009F6BD6" w:rsidRDefault="009F6BD6" w:rsidP="00AC3D56">
            <w:pPr>
              <w:jc w:val="both"/>
              <w:rPr>
                <w:rFonts w:ascii="Times New Roman" w:hAnsi="Times New Roman" w:cs="Times New Roman"/>
              </w:rPr>
            </w:pPr>
            <w:r w:rsidRPr="00467D92">
              <w:rPr>
                <w:rFonts w:ascii="Times New Roman" w:hAnsi="Times New Roman" w:cs="Times New Roman"/>
              </w:rPr>
              <w:t>59.263.150,00</w:t>
            </w:r>
          </w:p>
        </w:tc>
      </w:tr>
      <w:bookmarkEnd w:id="0"/>
    </w:tbl>
    <w:p w:rsidR="00467D92" w:rsidRPr="00467D92" w:rsidRDefault="00467D92" w:rsidP="00467D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5º A descentralização dos créditos orçamentários será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efetuada em parcela única e os recursos financeiros correspondentes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serão liberados mediante a liquidação dos empenhos emitidos à conta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dos créditos descentralizados.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§ 1º A execução orçamentária e financeira dos créditos descentralizados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deverá se processar em estrita observância ao Plano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Plurianual - PPA, à Lei de Diretrizes Orçamentárias - LDO, à Lei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Orçamentária Anual - LOA, ao Decreto nº 7.082/2010, bem como à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legislação federal que regulamenta as contratações públicas de serviços,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bens e obras, em especial a Lei nº 8.666, de 21 de julho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1993.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§ 2º A descentralização dos créditos será efetivada em Plano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Interno específico o qual não poderá ser </w:t>
      </w:r>
      <w:proofErr w:type="gramStart"/>
      <w:r w:rsidRPr="00467D92">
        <w:rPr>
          <w:rFonts w:ascii="Times New Roman" w:hAnsi="Times New Roman" w:cs="Times New Roman"/>
        </w:rPr>
        <w:t>objeto de alteração pelas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Unidades Gestoras beneficiárias no âmbito do Sistema Integrado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Administração Financeira do Governo Federal</w:t>
      </w:r>
      <w:proofErr w:type="gramEnd"/>
      <w:r w:rsidRPr="00467D92">
        <w:rPr>
          <w:rFonts w:ascii="Times New Roman" w:hAnsi="Times New Roman" w:cs="Times New Roman"/>
        </w:rPr>
        <w:t xml:space="preserve"> - SIAFI quando 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execução orçamentária.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§ 3º O saldo dos créditos orçamentários descentralizados 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não empenhados até 19 de novembro de 2012 deverá ser devolvido </w:t>
      </w:r>
      <w:proofErr w:type="gramStart"/>
      <w:r w:rsidRPr="00467D92"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Subsecretaria de Planejamento e Orçamento do Ministério da Educação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- SPO/MEC, nos termos da Portaria SE/MEC/Nº 1.321, de 1º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outubro de 2012.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6º O monitoramento da execução referente à ação 20RX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- Reestruturação dos Hospitais Universitários Federais será </w:t>
      </w:r>
      <w:proofErr w:type="gramStart"/>
      <w:r w:rsidRPr="00467D92">
        <w:rPr>
          <w:rFonts w:ascii="Times New Roman" w:hAnsi="Times New Roman" w:cs="Times New Roman"/>
        </w:rPr>
        <w:t>realizado</w:t>
      </w:r>
      <w:proofErr w:type="gramEnd"/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pelas Diretorias da Empresa Brasileira de Serviços Hospitalares -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EBSERH em conformidade com suas competências regimentais.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7º As Unidades Gestoras beneficiárias das descentralizações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créditos objeto desta Portaria encaminharão à Empresa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Brasileira de Serviços Hospitalares - EBSERH, em até 60 (sessenta)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dias após o encerramento do exercício financeiro de 2012, relatório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gerencial detalhando a aplicação dos recursos e os resultados alcançados,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segundo o modelo disponibilizado no Sistema de Informação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para Reestruturação dos Hospitais Universitários Federais -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7D92">
        <w:rPr>
          <w:rFonts w:ascii="Times New Roman" w:hAnsi="Times New Roman" w:cs="Times New Roman"/>
        </w:rPr>
        <w:t>SisREHUF</w:t>
      </w:r>
      <w:proofErr w:type="spellEnd"/>
      <w:proofErr w:type="gramEnd"/>
      <w:r w:rsidRPr="00467D92">
        <w:rPr>
          <w:rFonts w:ascii="Times New Roman" w:hAnsi="Times New Roman" w:cs="Times New Roman"/>
        </w:rPr>
        <w:t>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8º Os créditos descentralizados por destaque integrarão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as prestações de contas anuais das Instituições Federais de Ensino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Superior a serem apresentadas aos órgãos de controle interno e externo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nos termos da legislação vigente.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9º Esta Portaria entra em vigor na data da sua publicação.</w:t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JOSÉ RUBENS REBELATTO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ANEXO</w:t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BD6" w:rsidRPr="009F6BD6" w:rsidRDefault="009F6BD6" w:rsidP="009F6BD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F6BD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D92" w:rsidRPr="00AC3D56" w:rsidRDefault="00AC3D56" w:rsidP="00467D9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C3D56">
        <w:rPr>
          <w:rFonts w:ascii="Times New Roman" w:hAnsi="Times New Roman" w:cs="Times New Roman"/>
          <w:b/>
          <w:i/>
        </w:rPr>
        <w:t xml:space="preserve">(Publicação no DOU n.º 210, de 30.10.2012, Seção 1, página </w:t>
      </w:r>
      <w:proofErr w:type="gramStart"/>
      <w:r w:rsidRPr="00AC3D56">
        <w:rPr>
          <w:rFonts w:ascii="Times New Roman" w:hAnsi="Times New Roman" w:cs="Times New Roman"/>
          <w:b/>
          <w:i/>
        </w:rPr>
        <w:t>54)</w:t>
      </w:r>
      <w:proofErr w:type="gramEnd"/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67D92">
        <w:rPr>
          <w:rFonts w:ascii="Times New Roman" w:hAnsi="Times New Roman" w:cs="Times New Roman"/>
          <w:b/>
        </w:rPr>
        <w:t>DA EDUCAÇÃO SUPERIOR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67D92">
        <w:rPr>
          <w:rFonts w:ascii="Times New Roman" w:hAnsi="Times New Roman" w:cs="Times New Roman"/>
          <w:b/>
        </w:rPr>
        <w:t xml:space="preserve"> 204, DE 29 DE OUTUBRO DE </w:t>
      </w:r>
      <w:proofErr w:type="gramStart"/>
      <w:r w:rsidRPr="00467D92">
        <w:rPr>
          <w:rFonts w:ascii="Times New Roman" w:hAnsi="Times New Roman" w:cs="Times New Roman"/>
          <w:b/>
        </w:rPr>
        <w:t>2012</w:t>
      </w:r>
      <w:proofErr w:type="gramEnd"/>
    </w:p>
    <w:p w:rsid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pelo Decreto nº 7.690, de </w:t>
      </w:r>
      <w:proofErr w:type="gramStart"/>
      <w:r w:rsidRPr="00467D92">
        <w:rPr>
          <w:rFonts w:ascii="Times New Roman" w:hAnsi="Times New Roman" w:cs="Times New Roman"/>
        </w:rPr>
        <w:t>2</w:t>
      </w:r>
      <w:proofErr w:type="gramEnd"/>
      <w:r w:rsidRPr="00467D92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 Decreto nº 5.773, de 2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em 29 de dezembro de 2010, conforme consta do registro </w:t>
      </w:r>
      <w:proofErr w:type="spellStart"/>
      <w:r w:rsidRPr="00467D92">
        <w:rPr>
          <w:rFonts w:ascii="Times New Roman" w:hAnsi="Times New Roman" w:cs="Times New Roman"/>
        </w:rPr>
        <w:t>e-MEC</w:t>
      </w:r>
      <w:proofErr w:type="spellEnd"/>
      <w:r w:rsidRPr="00467D92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200807785 e Nota Técnica nº 700/2012-CGCIES/DIREG/SERES/MEC, do Ministério da Educação, resolve:</w:t>
      </w:r>
    </w:p>
    <w:p w:rsid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1º Fica autorizado o curso de Petróleo e Gás, Tecnológico,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com 200 (duzentas) vagas totais anuais, ministrado pela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Faculdade de Tecnologia e Ciências da Bahia, na Rua Quinze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Novembro, nº 925, bairro Santa Isabel, no Município de Alagoinhas,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Estado da Bahia, mantida pela Faculdade de Tecnologia e Ciências 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Bahia </w:t>
      </w:r>
      <w:proofErr w:type="spellStart"/>
      <w:r w:rsidRPr="00467D92">
        <w:rPr>
          <w:rFonts w:ascii="Times New Roman" w:hAnsi="Times New Roman" w:cs="Times New Roman"/>
        </w:rPr>
        <w:t>Ltda</w:t>
      </w:r>
      <w:proofErr w:type="spellEnd"/>
      <w:r w:rsidRPr="00467D92">
        <w:rPr>
          <w:rFonts w:ascii="Times New Roman" w:hAnsi="Times New Roman" w:cs="Times New Roman"/>
        </w:rPr>
        <w:t>, com sede no Município de Alagoinhas, Estado da Bahia.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2º Esta Portaria entra em vigor na data de sua publicação.</w:t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JORGE RODRIGO ARAÚJO MESSIAS</w:t>
      </w:r>
    </w:p>
    <w:p w:rsidR="00AC3D56" w:rsidRPr="00AC3D56" w:rsidRDefault="00AC3D56" w:rsidP="00AC3D5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C3D56">
        <w:rPr>
          <w:rFonts w:ascii="Times New Roman" w:hAnsi="Times New Roman" w:cs="Times New Roman"/>
          <w:b/>
          <w:i/>
        </w:rPr>
        <w:t xml:space="preserve">(Publicação no DOU n.º 210, de 30.10.2012, Seção 1, página </w:t>
      </w:r>
      <w:proofErr w:type="gramStart"/>
      <w:r w:rsidRPr="00AC3D56">
        <w:rPr>
          <w:rFonts w:ascii="Times New Roman" w:hAnsi="Times New Roman" w:cs="Times New Roman"/>
          <w:b/>
          <w:i/>
        </w:rPr>
        <w:t>54)</w:t>
      </w:r>
      <w:proofErr w:type="gramEnd"/>
    </w:p>
    <w:p w:rsidR="00467D92" w:rsidRDefault="00467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67D92">
        <w:rPr>
          <w:rFonts w:ascii="Times New Roman" w:hAnsi="Times New Roman" w:cs="Times New Roman"/>
          <w:b/>
        </w:rPr>
        <w:t>DA EDUCAÇÃO SUPERIOR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67D92">
        <w:rPr>
          <w:rFonts w:ascii="Times New Roman" w:hAnsi="Times New Roman" w:cs="Times New Roman"/>
          <w:b/>
        </w:rPr>
        <w:t xml:space="preserve"> 205, DE 29 DE OUTUBRO DE </w:t>
      </w:r>
      <w:proofErr w:type="gramStart"/>
      <w:r w:rsidRPr="00467D92">
        <w:rPr>
          <w:rFonts w:ascii="Times New Roman" w:hAnsi="Times New Roman" w:cs="Times New Roman"/>
          <w:b/>
        </w:rPr>
        <w:t>2012</w:t>
      </w:r>
      <w:proofErr w:type="gramEnd"/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pelo Decreto nº 7.690, de </w:t>
      </w:r>
      <w:proofErr w:type="gramStart"/>
      <w:r w:rsidRPr="00467D92">
        <w:rPr>
          <w:rFonts w:ascii="Times New Roman" w:hAnsi="Times New Roman" w:cs="Times New Roman"/>
        </w:rPr>
        <w:t>2</w:t>
      </w:r>
      <w:proofErr w:type="gramEnd"/>
      <w:r w:rsidRPr="00467D92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 Decreto nº 5.773, de 2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em 29 de dezembro de 2010, conforme consta do registro </w:t>
      </w:r>
      <w:proofErr w:type="spellStart"/>
      <w:r w:rsidRPr="00467D92">
        <w:rPr>
          <w:rFonts w:ascii="Times New Roman" w:hAnsi="Times New Roman" w:cs="Times New Roman"/>
        </w:rPr>
        <w:t>e-MEC</w:t>
      </w:r>
      <w:proofErr w:type="spellEnd"/>
      <w:r w:rsidRPr="00467D92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200807784 e Nota Técnica nº 701/2012-CGCIES/DIREG/SERES/MEC, do Ministério da Educação, resolve: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1º Fica autorizado o curso de Segurança no Trabalho,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Tecnológico, com 220 (duzentas e vinte) vagas totais anuais, ministrado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pela Faculdade de Tecnologia e Ciências da Bahia, na Rua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Quinze de Novembro, nº 925, bairro de Santa Isabel, Município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Alagoinhas, Estado da Bahia, mantida pela Faculdade de Tecnologia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 Ciências da Bahia Ltda., com sede no Município de Alagoinhas,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Estado da Bahia.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2º Esta Portaria entra em vigor na data de sua publicação.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JORGE RODRIGO ARAÚJO MESSIAS</w:t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56" w:rsidRPr="00AC3D56" w:rsidRDefault="00AC3D56" w:rsidP="00AC3D5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C3D56">
        <w:rPr>
          <w:rFonts w:ascii="Times New Roman" w:hAnsi="Times New Roman" w:cs="Times New Roman"/>
          <w:b/>
          <w:i/>
        </w:rPr>
        <w:t xml:space="preserve">(Publicação no DOU n.º 210, de 30.10.2012, Seção 1, página </w:t>
      </w:r>
      <w:proofErr w:type="gramStart"/>
      <w:r w:rsidRPr="00AC3D56">
        <w:rPr>
          <w:rFonts w:ascii="Times New Roman" w:hAnsi="Times New Roman" w:cs="Times New Roman"/>
          <w:b/>
          <w:i/>
        </w:rPr>
        <w:t>54)</w:t>
      </w:r>
      <w:proofErr w:type="gramEnd"/>
    </w:p>
    <w:p w:rsidR="00AC3D56" w:rsidRPr="00467D92" w:rsidRDefault="00AC3D56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67D92">
        <w:rPr>
          <w:rFonts w:ascii="Times New Roman" w:hAnsi="Times New Roman" w:cs="Times New Roman"/>
          <w:b/>
        </w:rPr>
        <w:t xml:space="preserve"> 206, DE 29 DE OUTUBRO DE </w:t>
      </w:r>
      <w:proofErr w:type="gramStart"/>
      <w:r w:rsidRPr="00467D92">
        <w:rPr>
          <w:rFonts w:ascii="Times New Roman" w:hAnsi="Times New Roman" w:cs="Times New Roman"/>
          <w:b/>
        </w:rPr>
        <w:t>2012</w:t>
      </w:r>
      <w:proofErr w:type="gramEnd"/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pelo Decreto nº 7.690, de </w:t>
      </w:r>
      <w:proofErr w:type="gramStart"/>
      <w:r w:rsidRPr="00467D92">
        <w:rPr>
          <w:rFonts w:ascii="Times New Roman" w:hAnsi="Times New Roman" w:cs="Times New Roman"/>
        </w:rPr>
        <w:t>2</w:t>
      </w:r>
      <w:proofErr w:type="gramEnd"/>
      <w:r w:rsidRPr="00467D92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em 29 de dezembro de 2010, e conforme consta do registro </w:t>
      </w:r>
      <w:proofErr w:type="spellStart"/>
      <w:r w:rsidRPr="00467D92">
        <w:rPr>
          <w:rFonts w:ascii="Times New Roman" w:hAnsi="Times New Roman" w:cs="Times New Roman"/>
        </w:rPr>
        <w:t>e-MEC</w:t>
      </w:r>
      <w:proofErr w:type="spellEnd"/>
      <w:r w:rsidRPr="00467D92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200910142 do Ministério da Educação, resolve: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1º Fica reconhecido o Curso Superior de Tecnologia em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Gestão de Sistemas de Energia, com 64 (sessenta e quatro) vagas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totais anuais, nos turnos vespertino e noturno, ministrado pelo Instituto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Federal de Educação, Ciência e Tecnologia de Santa Catarina,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na Avenida Mauro Ramos, 950, Centro, Florianópolis, Santa Catarina,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mantido pelo Instituto Federal de Educação, Ciência e Tecnologia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Santa Catarina, situado na Avenida Mauro Ramos, 950, Centro, Florianópolis,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Santa Catarina.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citado neste artigo.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2º Esta Portaria entra em vigor na data de sua publicação.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JORGE RODRIGO ARAÚJO MESSIAS</w:t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56" w:rsidRPr="00AC3D56" w:rsidRDefault="00AC3D56" w:rsidP="00AC3D5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C3D56">
        <w:rPr>
          <w:rFonts w:ascii="Times New Roman" w:hAnsi="Times New Roman" w:cs="Times New Roman"/>
          <w:b/>
          <w:i/>
        </w:rPr>
        <w:t>(Publicação no DOU n.º 210, de 30.10.2012, Seção 1, página 54</w:t>
      </w:r>
      <w:r>
        <w:rPr>
          <w:rFonts w:ascii="Times New Roman" w:hAnsi="Times New Roman" w:cs="Times New Roman"/>
          <w:b/>
          <w:i/>
        </w:rPr>
        <w:t>/55</w:t>
      </w:r>
      <w:proofErr w:type="gramStart"/>
      <w:r w:rsidRPr="00AC3D56">
        <w:rPr>
          <w:rFonts w:ascii="Times New Roman" w:hAnsi="Times New Roman" w:cs="Times New Roman"/>
          <w:b/>
          <w:i/>
        </w:rPr>
        <w:t>)</w:t>
      </w:r>
      <w:proofErr w:type="gramEnd"/>
    </w:p>
    <w:p w:rsidR="00AC3D56" w:rsidRPr="00467D92" w:rsidRDefault="00AC3D56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67D92">
        <w:rPr>
          <w:rFonts w:ascii="Times New Roman" w:hAnsi="Times New Roman" w:cs="Times New Roman"/>
          <w:b/>
        </w:rPr>
        <w:t xml:space="preserve"> 207, DE 29 DE OUTUBRO DE </w:t>
      </w:r>
      <w:proofErr w:type="gramStart"/>
      <w:r w:rsidRPr="00467D92">
        <w:rPr>
          <w:rFonts w:ascii="Times New Roman" w:hAnsi="Times New Roman" w:cs="Times New Roman"/>
          <w:b/>
        </w:rPr>
        <w:t>2012</w:t>
      </w:r>
      <w:proofErr w:type="gramEnd"/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pelo Decreto n° 7.690, de </w:t>
      </w:r>
      <w:proofErr w:type="gramStart"/>
      <w:r w:rsidRPr="00467D92">
        <w:rPr>
          <w:rFonts w:ascii="Times New Roman" w:hAnsi="Times New Roman" w:cs="Times New Roman"/>
        </w:rPr>
        <w:t>2</w:t>
      </w:r>
      <w:proofErr w:type="gramEnd"/>
      <w:r w:rsidRPr="00467D92">
        <w:rPr>
          <w:rFonts w:ascii="Times New Roman" w:hAnsi="Times New Roman" w:cs="Times New Roman"/>
        </w:rPr>
        <w:t xml:space="preserve"> de março de 2012, e tendo em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vista a Constituição Federal, o Decreto n° 5.773, de 9 de maio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2006 e suas alterações, a Portaria Normativa n° 40, de 12 de dezembro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2007, republicada em 29 de dezembro de 2010, a Resolução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nº 6, de 8 de julho de 2011, da Câmara de Educação Superior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do Conselho Nacional de Educação, conforme consta do Parecer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42/2012- CGFPR/DIREG/SERES/MEC, Processo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23000.012382/2012-61, do Ministério da Educação, resolve:</w:t>
      </w:r>
    </w:p>
    <w:p w:rsid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1º Fica indeferido o pedido de alteração de denominação,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na forma de aditamento ao ato de credenciamento, da Faculdade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67D92">
        <w:rPr>
          <w:rFonts w:ascii="Times New Roman" w:hAnsi="Times New Roman" w:cs="Times New Roman"/>
        </w:rPr>
        <w:t>Decision</w:t>
      </w:r>
      <w:proofErr w:type="spellEnd"/>
      <w:r w:rsidRPr="00467D92">
        <w:rPr>
          <w:rFonts w:ascii="Times New Roman" w:hAnsi="Times New Roman" w:cs="Times New Roman"/>
        </w:rPr>
        <w:t xml:space="preserve"> de Negócios - FACULDADE DECISION, mantida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pela </w:t>
      </w:r>
      <w:proofErr w:type="spellStart"/>
      <w:r w:rsidRPr="00467D92">
        <w:rPr>
          <w:rFonts w:ascii="Times New Roman" w:hAnsi="Times New Roman" w:cs="Times New Roman"/>
        </w:rPr>
        <w:t>Decision</w:t>
      </w:r>
      <w:proofErr w:type="spellEnd"/>
      <w:r w:rsidRPr="00467D92">
        <w:rPr>
          <w:rFonts w:ascii="Times New Roman" w:hAnsi="Times New Roman" w:cs="Times New Roman"/>
        </w:rPr>
        <w:t xml:space="preserve"> Business </w:t>
      </w:r>
      <w:proofErr w:type="spellStart"/>
      <w:r w:rsidRPr="00467D92">
        <w:rPr>
          <w:rFonts w:ascii="Times New Roman" w:hAnsi="Times New Roman" w:cs="Times New Roman"/>
        </w:rPr>
        <w:t>School</w:t>
      </w:r>
      <w:proofErr w:type="spellEnd"/>
      <w:r w:rsidRPr="00467D92">
        <w:rPr>
          <w:rFonts w:ascii="Times New Roman" w:hAnsi="Times New Roman" w:cs="Times New Roman"/>
        </w:rPr>
        <w:t xml:space="preserve"> Ltda.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2º Esta Portaria entra em vigor na data de sua publicação.</w:t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JORGE RODRIGO DE ARAÚJO MESSIAS</w:t>
      </w:r>
    </w:p>
    <w:p w:rsidR="00AC3D56" w:rsidRDefault="00AC3D56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56" w:rsidRPr="00AC3D56" w:rsidRDefault="00AC3D56" w:rsidP="00AC3D5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C3D56">
        <w:rPr>
          <w:rFonts w:ascii="Times New Roman" w:hAnsi="Times New Roman" w:cs="Times New Roman"/>
          <w:b/>
          <w:i/>
        </w:rPr>
        <w:t xml:space="preserve">(Publicação no DOU n.º 210, de 30.10.2012, Seção 1, página </w:t>
      </w:r>
      <w:proofErr w:type="gramStart"/>
      <w:r w:rsidRPr="00AC3D56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5</w:t>
      </w:r>
      <w:r w:rsidRPr="00AC3D56">
        <w:rPr>
          <w:rFonts w:ascii="Times New Roman" w:hAnsi="Times New Roman" w:cs="Times New Roman"/>
          <w:b/>
          <w:i/>
        </w:rPr>
        <w:t>)</w:t>
      </w:r>
      <w:proofErr w:type="gramEnd"/>
    </w:p>
    <w:p w:rsidR="00AC3D56" w:rsidRPr="00467D92" w:rsidRDefault="00AC3D56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D92" w:rsidRDefault="00467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67D92">
        <w:rPr>
          <w:rFonts w:ascii="Times New Roman" w:hAnsi="Times New Roman" w:cs="Times New Roman"/>
          <w:b/>
        </w:rPr>
        <w:t>DA EDUCAÇÃO SUPERIOR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67D92">
        <w:rPr>
          <w:rFonts w:ascii="Times New Roman" w:hAnsi="Times New Roman" w:cs="Times New Roman"/>
          <w:b/>
        </w:rPr>
        <w:t xml:space="preserve"> 208, DE 29 DE OUTUBRO DE </w:t>
      </w:r>
      <w:proofErr w:type="gramStart"/>
      <w:r w:rsidRPr="00467D92">
        <w:rPr>
          <w:rFonts w:ascii="Times New Roman" w:hAnsi="Times New Roman" w:cs="Times New Roman"/>
          <w:b/>
        </w:rPr>
        <w:t>2012</w:t>
      </w:r>
      <w:proofErr w:type="gramEnd"/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n° 7.690, de </w:t>
      </w:r>
      <w:proofErr w:type="gramStart"/>
      <w:r w:rsidRPr="00467D92">
        <w:rPr>
          <w:rFonts w:ascii="Times New Roman" w:hAnsi="Times New Roman" w:cs="Times New Roman"/>
        </w:rPr>
        <w:t>2</w:t>
      </w:r>
      <w:proofErr w:type="gramEnd"/>
      <w:r w:rsidRPr="00467D92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n° 5.773, de 9 de maio de 2006 e suas alterações, a Portaria Normativa n° 40, de 12 de dezembro de 2007, republicada em 29 de dezembro de 2010, a Resolução nº 06, de 8 de julho de 2011, da Câmara de Educação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Superior do Conselho Nacional de Educação, e o Parecer nº 43/2012-CGFPR/DIREG/SERES, do Ministério da Educação, resolve:</w:t>
      </w:r>
    </w:p>
    <w:p w:rsid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1º Fica aprovado, na forma de aditamento ao ato de credenciamento, a alteração de denominação da Instituição de Ensino Superior abaixo mencionada:</w:t>
      </w:r>
    </w:p>
    <w:p w:rsidR="00467D92" w:rsidRDefault="00467D92" w:rsidP="00467D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D92" w:rsidRPr="009F6BD6" w:rsidRDefault="009F6BD6" w:rsidP="00467D9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F6BD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67D92" w:rsidRPr="00467D92" w:rsidRDefault="00467D92" w:rsidP="00467D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2º Esta Portaria entra em vigor na data de sua publicação.</w:t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JORGE RODRIGO DE ARAÚJO MESSIAS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67D92">
        <w:rPr>
          <w:rFonts w:ascii="Times New Roman" w:hAnsi="Times New Roman" w:cs="Times New Roman"/>
          <w:b/>
        </w:rPr>
        <w:t xml:space="preserve"> 209, DE 29 DE OUTUBRO DE </w:t>
      </w:r>
      <w:proofErr w:type="gramStart"/>
      <w:r w:rsidRPr="00467D92">
        <w:rPr>
          <w:rFonts w:ascii="Times New Roman" w:hAnsi="Times New Roman" w:cs="Times New Roman"/>
          <w:b/>
        </w:rPr>
        <w:t>2012</w:t>
      </w:r>
      <w:proofErr w:type="gramEnd"/>
    </w:p>
    <w:p w:rsid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pelo Decreto nº 7.690, de </w:t>
      </w:r>
      <w:proofErr w:type="gramStart"/>
      <w:r w:rsidRPr="00467D92">
        <w:rPr>
          <w:rFonts w:ascii="Times New Roman" w:hAnsi="Times New Roman" w:cs="Times New Roman"/>
        </w:rPr>
        <w:t>2</w:t>
      </w:r>
      <w:proofErr w:type="gramEnd"/>
      <w:r w:rsidRPr="00467D92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em 29 de dezembro de 2010, conforme consta da Nota Técnica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415/CGFPR/DIREG/SERES/MEC, de 27/07/2012, e do processo </w:t>
      </w:r>
      <w:proofErr w:type="spellStart"/>
      <w:r w:rsidRPr="00467D92">
        <w:rPr>
          <w:rFonts w:ascii="Times New Roman" w:hAnsi="Times New Roman" w:cs="Times New Roman"/>
        </w:rPr>
        <w:t>e-MEC</w:t>
      </w:r>
      <w:proofErr w:type="spellEnd"/>
      <w:r w:rsidRPr="00467D92">
        <w:rPr>
          <w:rFonts w:ascii="Times New Roman" w:hAnsi="Times New Roman" w:cs="Times New Roman"/>
        </w:rPr>
        <w:t xml:space="preserve"> nº 201010773, do Ministério da Educação, resolve: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1º Torna-se sem efeito o disposto na linha 33 do Anexo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da Portaria SERES nº 502, de 22 de dezembro de 2011, publicada no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Diário Oficial da União, de 26 de dezembro de 2011, seção 1, página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194.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2º Esta Portaria entra em vigor na data de sua publicação.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JORGE RODRIGO ARAÚJO MESSIAS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67D92">
        <w:rPr>
          <w:rFonts w:ascii="Times New Roman" w:hAnsi="Times New Roman" w:cs="Times New Roman"/>
          <w:b/>
        </w:rPr>
        <w:t xml:space="preserve"> 210, DE 29 DE OUTUBRO DE </w:t>
      </w:r>
      <w:proofErr w:type="gramStart"/>
      <w:r w:rsidRPr="00467D92">
        <w:rPr>
          <w:rFonts w:ascii="Times New Roman" w:hAnsi="Times New Roman" w:cs="Times New Roman"/>
          <w:b/>
        </w:rPr>
        <w:t>2012</w:t>
      </w:r>
      <w:proofErr w:type="gramEnd"/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pelo Decreto nº 7.690, de 02 de março de 2012, tendo em vista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 Decreto nº 5.773, de 09 de maio de 2006, alterado pelo Decreto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6.303, de 12 de dezembro de 2007, e a Portaria Normativa nº 40,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conforme consta da Nota Técnica nº 407/2012/CGFPR/DIREG/SERES/MEC, de 27/07/2012, e Registro </w:t>
      </w:r>
      <w:proofErr w:type="spellStart"/>
      <w:r w:rsidRPr="00467D92">
        <w:rPr>
          <w:rFonts w:ascii="Times New Roman" w:hAnsi="Times New Roman" w:cs="Times New Roman"/>
        </w:rPr>
        <w:t>e-MEC</w:t>
      </w:r>
      <w:proofErr w:type="spellEnd"/>
      <w:r w:rsidRPr="00467D92">
        <w:rPr>
          <w:rFonts w:ascii="Times New Roman" w:hAnsi="Times New Roman" w:cs="Times New Roman"/>
        </w:rPr>
        <w:t xml:space="preserve"> nº 200812249, do Ministério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da Educação, resolve: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1º Torna-se sem efeito a Portaria SERES nº 202, de 27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junho de 2011, publicada no Diário Oficial da União, de 28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junho de 2011, seção 1, página 11.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2º Esta Portaria em vigor na data de sua publicação.</w:t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JORGE RODRIGO ARAÚJO MESSIAS</w:t>
      </w:r>
    </w:p>
    <w:p w:rsidR="00AC3D56" w:rsidRDefault="00AC3D56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56" w:rsidRDefault="00AC3D56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56" w:rsidRDefault="00AC3D56" w:rsidP="00AC3D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3D56">
        <w:rPr>
          <w:rFonts w:ascii="Times New Roman" w:hAnsi="Times New Roman" w:cs="Times New Roman"/>
          <w:b/>
          <w:i/>
        </w:rPr>
        <w:t xml:space="preserve">(Publicação no DOU n.º 210, de 30.10.2012, Seção 1, página </w:t>
      </w:r>
      <w:proofErr w:type="gramStart"/>
      <w:r w:rsidRPr="00AC3D56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5</w:t>
      </w:r>
      <w:r w:rsidRPr="00AC3D56">
        <w:rPr>
          <w:rFonts w:ascii="Times New Roman" w:hAnsi="Times New Roman" w:cs="Times New Roman"/>
          <w:b/>
          <w:i/>
        </w:rPr>
        <w:t>)</w:t>
      </w:r>
      <w:proofErr w:type="gramEnd"/>
    </w:p>
    <w:p w:rsidR="00AC3D56" w:rsidRDefault="00AC3D56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D92" w:rsidRDefault="00467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67D92">
        <w:rPr>
          <w:rFonts w:ascii="Times New Roman" w:hAnsi="Times New Roman" w:cs="Times New Roman"/>
          <w:b/>
        </w:rPr>
        <w:t>DA EDUCAÇÃO SUPERIOR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67D92">
        <w:rPr>
          <w:rFonts w:ascii="Times New Roman" w:hAnsi="Times New Roman" w:cs="Times New Roman"/>
          <w:b/>
        </w:rPr>
        <w:t xml:space="preserve"> 211, DE 29 DE OUTUBRO DE </w:t>
      </w:r>
      <w:proofErr w:type="gramStart"/>
      <w:r w:rsidRPr="00467D92">
        <w:rPr>
          <w:rFonts w:ascii="Times New Roman" w:hAnsi="Times New Roman" w:cs="Times New Roman"/>
          <w:b/>
        </w:rPr>
        <w:t>2012</w:t>
      </w:r>
      <w:proofErr w:type="gramEnd"/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pelo Decreto nº 7.690, de </w:t>
      </w:r>
      <w:proofErr w:type="gramStart"/>
      <w:r w:rsidRPr="00467D92">
        <w:rPr>
          <w:rFonts w:ascii="Times New Roman" w:hAnsi="Times New Roman" w:cs="Times New Roman"/>
        </w:rPr>
        <w:t>2</w:t>
      </w:r>
      <w:proofErr w:type="gramEnd"/>
      <w:r w:rsidRPr="00467D92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 Decreto nº 5.773, de 9 de maio de 2006, alterado pelo Decreto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6.303, de 12 de dezembro de 2007, e a Portaria Normativa nº 40,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conforme consta da Nota Técnica nº 367/2012-CGFPR/DIREG/SERES/MEC, de 27/07/2012, e Registro </w:t>
      </w:r>
      <w:proofErr w:type="spellStart"/>
      <w:r w:rsidRPr="00467D92">
        <w:rPr>
          <w:rFonts w:ascii="Times New Roman" w:hAnsi="Times New Roman" w:cs="Times New Roman"/>
        </w:rPr>
        <w:t>e-MEC</w:t>
      </w:r>
      <w:proofErr w:type="spellEnd"/>
      <w:r w:rsidRPr="00467D92">
        <w:rPr>
          <w:rFonts w:ascii="Times New Roman" w:hAnsi="Times New Roman" w:cs="Times New Roman"/>
        </w:rPr>
        <w:t xml:space="preserve"> nº 201000719, do Ministério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da Educação, resolve: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1º Torna-se sem efeito o disposto na linha 11 do Anexo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da Portaria nº 359, de 17 de agosto de 2011, da Secretaria de Regulação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 Supervisão da Educação Superior, publicada no Diário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Oficial da União de 19 de agosto de 2011, seção 1, página 10.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Art. 2º Esta Portaria em vigor na data de sua publicação.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JORGE RODRIGO ARAÚJO MESSIAS</w:t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D92" w:rsidRDefault="00AC3D56" w:rsidP="00467D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3D56">
        <w:rPr>
          <w:rFonts w:ascii="Times New Roman" w:hAnsi="Times New Roman" w:cs="Times New Roman"/>
          <w:b/>
          <w:i/>
        </w:rPr>
        <w:t xml:space="preserve">(Publicação no DOU n.º 210, de 30.10.2012, Seção 1, página </w:t>
      </w:r>
      <w:proofErr w:type="gramStart"/>
      <w:r w:rsidRPr="00AC3D56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5</w:t>
      </w:r>
      <w:r w:rsidRPr="00AC3D56">
        <w:rPr>
          <w:rFonts w:ascii="Times New Roman" w:hAnsi="Times New Roman" w:cs="Times New Roman"/>
          <w:b/>
          <w:i/>
        </w:rPr>
        <w:t>)</w:t>
      </w:r>
      <w:proofErr w:type="gramEnd"/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67D92">
        <w:rPr>
          <w:rFonts w:ascii="Times New Roman" w:hAnsi="Times New Roman" w:cs="Times New Roman"/>
          <w:b/>
        </w:rPr>
        <w:t>DA EDUCAÇÃO SUPERIOR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DESPACHO DO SECRETÁRIO</w:t>
      </w:r>
    </w:p>
    <w:p w:rsidR="00467D92" w:rsidRPr="00AC3D56" w:rsidRDefault="00467D92" w:rsidP="00467D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3D56">
        <w:rPr>
          <w:rFonts w:ascii="Times New Roman" w:hAnsi="Times New Roman" w:cs="Times New Roman"/>
        </w:rPr>
        <w:t>Em 25 de outubro de 2012</w:t>
      </w:r>
    </w:p>
    <w:p w:rsidR="00467D92" w:rsidRPr="00467D92" w:rsidRDefault="00467D92" w:rsidP="00467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 xml:space="preserve">INTERESSADO: (3966) Centro Universitário de Caratinga </w:t>
      </w:r>
      <w:r>
        <w:rPr>
          <w:rFonts w:ascii="Times New Roman" w:hAnsi="Times New Roman" w:cs="Times New Roman"/>
        </w:rPr>
        <w:t>–</w:t>
      </w:r>
      <w:r w:rsidRPr="00467D92">
        <w:rPr>
          <w:rFonts w:ascii="Times New Roman" w:hAnsi="Times New Roman" w:cs="Times New Roman"/>
        </w:rPr>
        <w:t xml:space="preserve"> Campus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67D92">
        <w:rPr>
          <w:rFonts w:ascii="Times New Roman" w:hAnsi="Times New Roman" w:cs="Times New Roman"/>
        </w:rPr>
        <w:t>Unec</w:t>
      </w:r>
      <w:proofErr w:type="spellEnd"/>
      <w:r w:rsidRPr="00467D92">
        <w:rPr>
          <w:rFonts w:ascii="Times New Roman" w:hAnsi="Times New Roman" w:cs="Times New Roman"/>
        </w:rPr>
        <w:t xml:space="preserve"> Teófilo Otoni. UF: MG</w:t>
      </w:r>
    </w:p>
    <w:p w:rsidR="00467D92" w:rsidRPr="00467D92" w:rsidRDefault="00467D92" w:rsidP="00467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PROCESSO: 23000.017911/2011-32</w:t>
      </w:r>
    </w:p>
    <w:p w:rsidR="00467D92" w:rsidRPr="00467D92" w:rsidRDefault="00467D92" w:rsidP="00467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67D92">
        <w:rPr>
          <w:rFonts w:ascii="Times New Roman" w:hAnsi="Times New Roman" w:cs="Times New Roman"/>
        </w:rPr>
        <w:t xml:space="preserve"> 152 -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Nota Técnica nº 680/2012-DISUP/SERES/MEC,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da Constituição Federal, no art. 46 da Lei nº 9.394, de 1996, no art.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2º, I, VI e XIII, da Lei nº 9.784, de 1999, e no Capítulo III, do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Decreto nº 5.773, de 2006, determina: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1. O arquivamento do processo de supervisão nº 23000.017911/2011-32, com fundamento expresso no art. 49 do Decreto nº 5.773,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2006;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2. A revogação dos efeitos das medidas cautelares aplicadas ao curso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de Enfermagem do Centro Universitário de Caratinga - Campus </w:t>
      </w:r>
      <w:proofErr w:type="spellStart"/>
      <w:r w:rsidRPr="00467D92">
        <w:rPr>
          <w:rFonts w:ascii="Times New Roman" w:hAnsi="Times New Roman" w:cs="Times New Roman"/>
        </w:rPr>
        <w:t>Unec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Teófilo Otoni, por meio do Despacho nº 242, de 2011, publicado no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Diário Oficial da União - DOU em 29/11/2011;</w:t>
      </w: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 xml:space="preserve">3. Seja o Centro Universitário de Caratinga - Campus </w:t>
      </w:r>
      <w:proofErr w:type="spellStart"/>
      <w:r w:rsidRPr="00467D92">
        <w:rPr>
          <w:rFonts w:ascii="Times New Roman" w:hAnsi="Times New Roman" w:cs="Times New Roman"/>
        </w:rPr>
        <w:t>Unec</w:t>
      </w:r>
      <w:proofErr w:type="spellEnd"/>
      <w:r w:rsidRPr="00467D92">
        <w:rPr>
          <w:rFonts w:ascii="Times New Roman" w:hAnsi="Times New Roman" w:cs="Times New Roman"/>
        </w:rPr>
        <w:t xml:space="preserve"> Teófilo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Otoni notificado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nos termos do art. 28 da Lei nº 9.784, de 1999.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JORGE RODRIGO ARAUJO MESSIAS</w:t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56" w:rsidRDefault="00AC3D56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D92" w:rsidRDefault="00AC3D56" w:rsidP="00467D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3D56">
        <w:rPr>
          <w:rFonts w:ascii="Times New Roman" w:hAnsi="Times New Roman" w:cs="Times New Roman"/>
          <w:b/>
          <w:i/>
        </w:rPr>
        <w:t xml:space="preserve">(Publicação no DOU n.º 210, de 30.10.2012, Seção 1, página </w:t>
      </w:r>
      <w:proofErr w:type="gramStart"/>
      <w:r w:rsidRPr="00AC3D56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5</w:t>
      </w:r>
      <w:r w:rsidRPr="00AC3D56">
        <w:rPr>
          <w:rFonts w:ascii="Times New Roman" w:hAnsi="Times New Roman" w:cs="Times New Roman"/>
          <w:b/>
          <w:i/>
        </w:rPr>
        <w:t>)</w:t>
      </w:r>
      <w:proofErr w:type="gramEnd"/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D56" w:rsidRDefault="00AC3D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67D92">
        <w:rPr>
          <w:rFonts w:ascii="Times New Roman" w:hAnsi="Times New Roman" w:cs="Times New Roman"/>
          <w:b/>
        </w:rPr>
        <w:t>DA EDUCAÇÃO SUPERIOR</w:t>
      </w:r>
    </w:p>
    <w:p w:rsidR="00467D92" w:rsidRPr="00467D92" w:rsidRDefault="00467D92" w:rsidP="0046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92">
        <w:rPr>
          <w:rFonts w:ascii="Times New Roman" w:hAnsi="Times New Roman" w:cs="Times New Roman"/>
          <w:b/>
        </w:rPr>
        <w:t>RETIFICAÇÕES</w:t>
      </w:r>
    </w:p>
    <w:p w:rsid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No Diário Oficial da União nº 74, de 18/04/2011, Seção 1,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página 18, da Portaria nº 837, de 14 de abril de 2011, da Secretaria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Educação Superior, onde se lê: "com 100 (cem) vagas totais anuais,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no turno noturno,", leia-se: "com 50 (cinquenta) vagas totais anuais,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no turno matutino,", conforme Nota Técnica nº 404/2012-CGFPR/DIREG/SERES/MEC, de 27/07/2012. (Registro </w:t>
      </w:r>
      <w:proofErr w:type="spellStart"/>
      <w:r w:rsidRPr="00467D92">
        <w:rPr>
          <w:rFonts w:ascii="Times New Roman" w:hAnsi="Times New Roman" w:cs="Times New Roman"/>
        </w:rPr>
        <w:t>e-MEC</w:t>
      </w:r>
      <w:proofErr w:type="spellEnd"/>
      <w:r w:rsidRPr="00467D92">
        <w:rPr>
          <w:rFonts w:ascii="Times New Roman" w:hAnsi="Times New Roman" w:cs="Times New Roman"/>
        </w:rPr>
        <w:t>: nº 20071514).</w:t>
      </w:r>
    </w:p>
    <w:p w:rsidR="00AC3D56" w:rsidRDefault="00AC3D56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No Diário Oficial da União nº 164, de 25/08/2011, Seção 1,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página 61, na linha 20 do Anexo da Portaria nº 364, de 23 de agosto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2011,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onde se lê: "Letras, Português e Espanhol", leia-se: "Letras,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Português e Espanhol, Licenciatura", conforme Nota Técnica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406/2012-CGFPR/DIREG/SERES/MEC, de 27/07/2012. (Registro </w:t>
      </w:r>
      <w:proofErr w:type="spellStart"/>
      <w:r w:rsidRPr="00467D92">
        <w:rPr>
          <w:rFonts w:ascii="Times New Roman" w:hAnsi="Times New Roman" w:cs="Times New Roman"/>
        </w:rPr>
        <w:t>e-MEC</w:t>
      </w:r>
      <w:proofErr w:type="spellEnd"/>
      <w:r w:rsidRPr="00467D92">
        <w:rPr>
          <w:rFonts w:ascii="Times New Roman" w:hAnsi="Times New Roman" w:cs="Times New Roman"/>
        </w:rPr>
        <w:t>: nº 200712570).</w:t>
      </w:r>
    </w:p>
    <w:p w:rsidR="00AC3D56" w:rsidRDefault="00AC3D56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No Diário Oficial da União nº 185, de 26/09/2011, Seção 1,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página 18, na linha </w:t>
      </w:r>
      <w:proofErr w:type="gramStart"/>
      <w:r w:rsidRPr="00467D92">
        <w:rPr>
          <w:rFonts w:ascii="Times New Roman" w:hAnsi="Times New Roman" w:cs="Times New Roman"/>
        </w:rPr>
        <w:t>1</w:t>
      </w:r>
      <w:proofErr w:type="gramEnd"/>
      <w:r w:rsidRPr="00467D92">
        <w:rPr>
          <w:rFonts w:ascii="Times New Roman" w:hAnsi="Times New Roman" w:cs="Times New Roman"/>
        </w:rPr>
        <w:t xml:space="preserve"> do Anexo da Portaria nº 395, de 23 de setembro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2011,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onde se lê: "História", leia-se: "História, Licenciatura", conforme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Nota Técnica nº 402/2012-CGFPR/DIREG/SERES/MEC,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27/07/2012. (Registro </w:t>
      </w:r>
      <w:proofErr w:type="spellStart"/>
      <w:r w:rsidRPr="00467D92">
        <w:rPr>
          <w:rFonts w:ascii="Times New Roman" w:hAnsi="Times New Roman" w:cs="Times New Roman"/>
        </w:rPr>
        <w:t>e-MEC</w:t>
      </w:r>
      <w:proofErr w:type="spellEnd"/>
      <w:r w:rsidRPr="00467D92">
        <w:rPr>
          <w:rFonts w:ascii="Times New Roman" w:hAnsi="Times New Roman" w:cs="Times New Roman"/>
        </w:rPr>
        <w:t>: nº 200804581).</w:t>
      </w:r>
    </w:p>
    <w:p w:rsidR="00AC3D56" w:rsidRDefault="00AC3D56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No Diário Oficial da União nº 148, de 03/08/2011, Seção 1,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página 56, na linha 08 do Anexo da Portaria nº 300, de </w:t>
      </w:r>
      <w:proofErr w:type="gramStart"/>
      <w:r w:rsidRPr="00467D92">
        <w:rPr>
          <w:rFonts w:ascii="Times New Roman" w:hAnsi="Times New Roman" w:cs="Times New Roman"/>
        </w:rPr>
        <w:t>2</w:t>
      </w:r>
      <w:proofErr w:type="gramEnd"/>
      <w:r w:rsidRPr="00467D92">
        <w:rPr>
          <w:rFonts w:ascii="Times New Roman" w:hAnsi="Times New Roman" w:cs="Times New Roman"/>
        </w:rPr>
        <w:t xml:space="preserve"> de agosto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2011,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onde se lê: "Grupo IBMEC Educacional S.A.", leia-se: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"Anhanguera Educacional Ltda.", conforme Nota Técnica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417/2012-CGFPR/DIREG/SERES/MEC, de 27/12/2012. (Registro </w:t>
      </w:r>
      <w:proofErr w:type="spellStart"/>
      <w:r w:rsidRPr="00467D92">
        <w:rPr>
          <w:rFonts w:ascii="Times New Roman" w:hAnsi="Times New Roman" w:cs="Times New Roman"/>
        </w:rPr>
        <w:t>e-MEC</w:t>
      </w:r>
      <w:proofErr w:type="spellEnd"/>
      <w:r w:rsidRPr="00467D92">
        <w:rPr>
          <w:rFonts w:ascii="Times New Roman" w:hAnsi="Times New Roman" w:cs="Times New Roman"/>
        </w:rPr>
        <w:t xml:space="preserve"> nº 201007091).</w:t>
      </w:r>
    </w:p>
    <w:p w:rsidR="00AC3D56" w:rsidRDefault="00AC3D56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No Diário Oficial da União nº 148, de 03/08/2011, Seção 1,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página 56, na linha 24 do Anexo da Portaria nº 300, de </w:t>
      </w:r>
      <w:proofErr w:type="gramStart"/>
      <w:r w:rsidRPr="00467D92">
        <w:rPr>
          <w:rFonts w:ascii="Times New Roman" w:hAnsi="Times New Roman" w:cs="Times New Roman"/>
        </w:rPr>
        <w:t>2</w:t>
      </w:r>
      <w:proofErr w:type="gramEnd"/>
      <w:r w:rsidRPr="00467D92">
        <w:rPr>
          <w:rFonts w:ascii="Times New Roman" w:hAnsi="Times New Roman" w:cs="Times New Roman"/>
        </w:rPr>
        <w:t xml:space="preserve"> de agosto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de 2011, da Secretaria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onde se lê: "Sociedade Educacional Noiva do Mar Ltda.", leia</w:t>
      </w:r>
      <w:r>
        <w:rPr>
          <w:rFonts w:ascii="Times New Roman" w:hAnsi="Times New Roman" w:cs="Times New Roman"/>
        </w:rPr>
        <w:t>-</w:t>
      </w:r>
      <w:r w:rsidRPr="00467D92">
        <w:rPr>
          <w:rFonts w:ascii="Times New Roman" w:hAnsi="Times New Roman" w:cs="Times New Roman"/>
        </w:rPr>
        <w:t>se: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"Anhanguera Educacional Ltda.", conforme Nota Técnica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418/2012-CGFPR/DIREG/SERES/MEC, de 27/07/2012. (Registro </w:t>
      </w:r>
      <w:proofErr w:type="spellStart"/>
      <w:r w:rsidRPr="00467D92">
        <w:rPr>
          <w:rFonts w:ascii="Times New Roman" w:hAnsi="Times New Roman" w:cs="Times New Roman"/>
        </w:rPr>
        <w:t>e-MEC</w:t>
      </w:r>
      <w:proofErr w:type="spellEnd"/>
      <w:r w:rsidRPr="00467D92">
        <w:rPr>
          <w:rFonts w:ascii="Times New Roman" w:hAnsi="Times New Roman" w:cs="Times New Roman"/>
        </w:rPr>
        <w:t xml:space="preserve"> nº 201006502).</w:t>
      </w:r>
    </w:p>
    <w:p w:rsidR="00AC3D56" w:rsidRDefault="00AC3D56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7D92" w:rsidRPr="00467D92" w:rsidRDefault="00467D92" w:rsidP="00467D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7D92">
        <w:rPr>
          <w:rFonts w:ascii="Times New Roman" w:hAnsi="Times New Roman" w:cs="Times New Roman"/>
        </w:rPr>
        <w:t>No Diário Oficial da União nº 190, de 03/10/2011, Seção 1,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página 14, na linha 19 do Anexo da Portaria nº 403, de 22 de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setembro de 2011,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Superior, onde se lê: "Engenharia, Bacharelado", leia-se: "Engenharia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 xml:space="preserve">Civil, Bacharelado", conforme Nota Técnica nº 416/2012-CGFPR/DIREG/SERES/MEC, de 27/07/2012. (Registro </w:t>
      </w:r>
      <w:proofErr w:type="spellStart"/>
      <w:r w:rsidRPr="00467D92">
        <w:rPr>
          <w:rFonts w:ascii="Times New Roman" w:hAnsi="Times New Roman" w:cs="Times New Roman"/>
        </w:rPr>
        <w:t>e-MEC</w:t>
      </w:r>
      <w:proofErr w:type="spellEnd"/>
      <w:r w:rsidRPr="00467D92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467D92">
        <w:rPr>
          <w:rFonts w:ascii="Times New Roman" w:hAnsi="Times New Roman" w:cs="Times New Roman"/>
        </w:rPr>
        <w:t>200900817).</w:t>
      </w:r>
    </w:p>
    <w:p w:rsidR="00467D92" w:rsidRDefault="00467D92" w:rsidP="00467D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D56" w:rsidRDefault="00AC3D56" w:rsidP="00467D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D56" w:rsidRPr="00467D92" w:rsidRDefault="00AC3D56" w:rsidP="00AC3D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3D56">
        <w:rPr>
          <w:rFonts w:ascii="Times New Roman" w:hAnsi="Times New Roman" w:cs="Times New Roman"/>
          <w:b/>
          <w:i/>
        </w:rPr>
        <w:t xml:space="preserve">(Publicação no DOU n.º 210, de 30.10.2012, Seção 1, página </w:t>
      </w:r>
      <w:proofErr w:type="gramStart"/>
      <w:r w:rsidRPr="00AC3D56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5</w:t>
      </w:r>
      <w:r w:rsidRPr="00AC3D56">
        <w:rPr>
          <w:rFonts w:ascii="Times New Roman" w:hAnsi="Times New Roman" w:cs="Times New Roman"/>
          <w:b/>
          <w:i/>
        </w:rPr>
        <w:t>)</w:t>
      </w:r>
      <w:proofErr w:type="gramEnd"/>
    </w:p>
    <w:sectPr w:rsidR="00AC3D56" w:rsidRPr="00467D92" w:rsidSect="00467D92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92" w:rsidRDefault="00467D92" w:rsidP="00467D92">
      <w:pPr>
        <w:spacing w:after="0" w:line="240" w:lineRule="auto"/>
      </w:pPr>
      <w:r>
        <w:separator/>
      </w:r>
    </w:p>
  </w:endnote>
  <w:endnote w:type="continuationSeparator" w:id="0">
    <w:p w:rsidR="00467D92" w:rsidRDefault="00467D92" w:rsidP="0046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678393"/>
      <w:docPartObj>
        <w:docPartGallery w:val="Page Numbers (Bottom of Page)"/>
        <w:docPartUnique/>
      </w:docPartObj>
    </w:sdtPr>
    <w:sdtEndPr/>
    <w:sdtContent>
      <w:p w:rsidR="00467D92" w:rsidRDefault="00467D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7D5">
          <w:rPr>
            <w:noProof/>
          </w:rPr>
          <w:t>1</w:t>
        </w:r>
        <w:r>
          <w:fldChar w:fldCharType="end"/>
        </w:r>
      </w:p>
    </w:sdtContent>
  </w:sdt>
  <w:p w:rsidR="00467D92" w:rsidRDefault="00467D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92" w:rsidRDefault="00467D92" w:rsidP="00467D92">
      <w:pPr>
        <w:spacing w:after="0" w:line="240" w:lineRule="auto"/>
      </w:pPr>
      <w:r>
        <w:separator/>
      </w:r>
    </w:p>
  </w:footnote>
  <w:footnote w:type="continuationSeparator" w:id="0">
    <w:p w:rsidR="00467D92" w:rsidRDefault="00467D92" w:rsidP="00467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92"/>
    <w:rsid w:val="003607FD"/>
    <w:rsid w:val="00467D92"/>
    <w:rsid w:val="009F6BD6"/>
    <w:rsid w:val="00AC3D56"/>
    <w:rsid w:val="00BC27D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D92"/>
  </w:style>
  <w:style w:type="paragraph" w:styleId="Rodap">
    <w:name w:val="footer"/>
    <w:basedOn w:val="Normal"/>
    <w:link w:val="RodapChar"/>
    <w:uiPriority w:val="99"/>
    <w:unhideWhenUsed/>
    <w:rsid w:val="00467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D92"/>
  </w:style>
  <w:style w:type="table" w:styleId="Tabelacomgrade">
    <w:name w:val="Table Grid"/>
    <w:basedOn w:val="Tabelanormal"/>
    <w:uiPriority w:val="59"/>
    <w:rsid w:val="00AC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D92"/>
  </w:style>
  <w:style w:type="paragraph" w:styleId="Rodap">
    <w:name w:val="footer"/>
    <w:basedOn w:val="Normal"/>
    <w:link w:val="RodapChar"/>
    <w:uiPriority w:val="99"/>
    <w:unhideWhenUsed/>
    <w:rsid w:val="00467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D92"/>
  </w:style>
  <w:style w:type="table" w:styleId="Tabelacomgrade">
    <w:name w:val="Table Grid"/>
    <w:basedOn w:val="Tabelanormal"/>
    <w:uiPriority w:val="59"/>
    <w:rsid w:val="00AC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ED06-5528-4A61-A0E4-D25410FB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2788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2012-10-30T10:00:00Z</dcterms:created>
  <dcterms:modified xsi:type="dcterms:W3CDTF">2012-10-30T10:34:00Z</dcterms:modified>
</cp:coreProperties>
</file>