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36" w:rsidRPr="00182336" w:rsidRDefault="00182336" w:rsidP="00182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2336">
        <w:rPr>
          <w:rFonts w:ascii="Times New Roman" w:hAnsi="Times New Roman" w:cs="Times New Roman"/>
          <w:b/>
        </w:rPr>
        <w:t>MINISTÉRIO DA EDUCAÇÃO</w:t>
      </w:r>
    </w:p>
    <w:p w:rsidR="00182336" w:rsidRPr="00182336" w:rsidRDefault="00182336" w:rsidP="00182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2336">
        <w:rPr>
          <w:rFonts w:ascii="Times New Roman" w:hAnsi="Times New Roman" w:cs="Times New Roman"/>
          <w:b/>
        </w:rPr>
        <w:t>GABINETE DO MINISTRO</w:t>
      </w:r>
    </w:p>
    <w:p w:rsidR="00182336" w:rsidRPr="00182336" w:rsidRDefault="00182336" w:rsidP="00182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2336">
        <w:rPr>
          <w:rFonts w:ascii="Times New Roman" w:hAnsi="Times New Roman" w:cs="Times New Roman"/>
          <w:b/>
        </w:rPr>
        <w:t>D</w:t>
      </w:r>
      <w:bookmarkStart w:id="0" w:name="_GoBack"/>
      <w:bookmarkEnd w:id="0"/>
      <w:r w:rsidRPr="00182336">
        <w:rPr>
          <w:rFonts w:ascii="Times New Roman" w:hAnsi="Times New Roman" w:cs="Times New Roman"/>
          <w:b/>
        </w:rPr>
        <w:t>ESPACHO DO MINISTRO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182336">
        <w:rPr>
          <w:rFonts w:ascii="Times New Roman" w:hAnsi="Times New Roman" w:cs="Times New Roman"/>
        </w:rPr>
        <w:t>: 00190.022377/2009-76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82336">
        <w:rPr>
          <w:rFonts w:ascii="Times New Roman" w:hAnsi="Times New Roman" w:cs="Times New Roman"/>
        </w:rPr>
        <w:t>Interessado(</w:t>
      </w:r>
      <w:proofErr w:type="gramEnd"/>
      <w:r w:rsidRPr="00182336">
        <w:rPr>
          <w:rFonts w:ascii="Times New Roman" w:hAnsi="Times New Roman" w:cs="Times New Roman"/>
        </w:rPr>
        <w:t>a): CPAD - Comissão de processo administrativo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disciplinar.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Assunto: Apuração de irregularidades na Universidade de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Brasília.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fulcro no Parecer nº 1082/2012/CONJUR-MEC/CGU/AGU,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 xml:space="preserve">Jurídica deste Ministério, cujos fundamentos </w:t>
      </w:r>
      <w:proofErr w:type="gramStart"/>
      <w:r w:rsidRPr="00182336">
        <w:rPr>
          <w:rFonts w:ascii="Times New Roman" w:hAnsi="Times New Roman" w:cs="Times New Roman"/>
        </w:rPr>
        <w:t>adoto</w:t>
      </w:r>
      <w:proofErr w:type="gramEnd"/>
      <w:r w:rsidRPr="00182336">
        <w:rPr>
          <w:rFonts w:ascii="Times New Roman" w:hAnsi="Times New Roman" w:cs="Times New Roman"/>
        </w:rPr>
        <w:t>, nos termos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ratifico o entendimento exposto no relatório da comissão de inquérito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quanto: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 xml:space="preserve">a) à absolvição de Maristela </w:t>
      </w:r>
      <w:proofErr w:type="spellStart"/>
      <w:r w:rsidRPr="00182336">
        <w:rPr>
          <w:rFonts w:ascii="Times New Roman" w:hAnsi="Times New Roman" w:cs="Times New Roman"/>
        </w:rPr>
        <w:t>Abad</w:t>
      </w:r>
      <w:proofErr w:type="spellEnd"/>
      <w:r w:rsidRPr="00182336">
        <w:rPr>
          <w:rFonts w:ascii="Times New Roman" w:hAnsi="Times New Roman" w:cs="Times New Roman"/>
        </w:rPr>
        <w:t>;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b) à condenação de Fátima Rejane de Menezes e de Márcia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 xml:space="preserve">de Albuquerque </w:t>
      </w:r>
      <w:proofErr w:type="spellStart"/>
      <w:r w:rsidRPr="00182336">
        <w:rPr>
          <w:rFonts w:ascii="Times New Roman" w:hAnsi="Times New Roman" w:cs="Times New Roman"/>
        </w:rPr>
        <w:t>Rosalvos</w:t>
      </w:r>
      <w:proofErr w:type="spellEnd"/>
      <w:r w:rsidRPr="00182336">
        <w:rPr>
          <w:rFonts w:ascii="Times New Roman" w:hAnsi="Times New Roman" w:cs="Times New Roman"/>
        </w:rPr>
        <w:t xml:space="preserve"> à pena de advertência; </w:t>
      </w:r>
      <w:proofErr w:type="gramStart"/>
      <w:r w:rsidRPr="00182336">
        <w:rPr>
          <w:rFonts w:ascii="Times New Roman" w:hAnsi="Times New Roman" w:cs="Times New Roman"/>
        </w:rPr>
        <w:t>e</w:t>
      </w:r>
      <w:proofErr w:type="gramEnd"/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 xml:space="preserve">c) à condenação de </w:t>
      </w:r>
      <w:proofErr w:type="spellStart"/>
      <w:r w:rsidRPr="00182336">
        <w:rPr>
          <w:rFonts w:ascii="Times New Roman" w:hAnsi="Times New Roman" w:cs="Times New Roman"/>
        </w:rPr>
        <w:t>Henryk</w:t>
      </w:r>
      <w:proofErr w:type="spellEnd"/>
      <w:r w:rsidRPr="00182336">
        <w:rPr>
          <w:rFonts w:ascii="Times New Roman" w:hAnsi="Times New Roman" w:cs="Times New Roman"/>
        </w:rPr>
        <w:t xml:space="preserve"> </w:t>
      </w:r>
      <w:proofErr w:type="spellStart"/>
      <w:r w:rsidRPr="00182336">
        <w:rPr>
          <w:rFonts w:ascii="Times New Roman" w:hAnsi="Times New Roman" w:cs="Times New Roman"/>
        </w:rPr>
        <w:t>Siewierski</w:t>
      </w:r>
      <w:proofErr w:type="spellEnd"/>
      <w:r w:rsidRPr="00182336">
        <w:rPr>
          <w:rFonts w:ascii="Times New Roman" w:hAnsi="Times New Roman" w:cs="Times New Roman"/>
        </w:rPr>
        <w:t xml:space="preserve"> à pena de suspensão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por 30 (trinta) dias.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 xml:space="preserve">2. Quanto à sugestão de condenação de </w:t>
      </w:r>
      <w:proofErr w:type="spellStart"/>
      <w:r w:rsidRPr="00182336">
        <w:rPr>
          <w:rFonts w:ascii="Times New Roman" w:hAnsi="Times New Roman" w:cs="Times New Roman"/>
        </w:rPr>
        <w:t>Timmothy</w:t>
      </w:r>
      <w:proofErr w:type="spellEnd"/>
      <w:r w:rsidRPr="00182336"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82336">
        <w:rPr>
          <w:rFonts w:ascii="Times New Roman" w:hAnsi="Times New Roman" w:cs="Times New Roman"/>
        </w:rPr>
        <w:t>Mulholland</w:t>
      </w:r>
      <w:proofErr w:type="spellEnd"/>
      <w:r w:rsidRPr="00182336">
        <w:rPr>
          <w:rFonts w:ascii="Times New Roman" w:hAnsi="Times New Roman" w:cs="Times New Roman"/>
        </w:rPr>
        <w:t xml:space="preserve"> à pena de demissão e de Érico </w:t>
      </w:r>
      <w:proofErr w:type="gramStart"/>
      <w:r w:rsidRPr="00182336">
        <w:rPr>
          <w:rFonts w:ascii="Times New Roman" w:hAnsi="Times New Roman" w:cs="Times New Roman"/>
        </w:rPr>
        <w:t xml:space="preserve">Paulo </w:t>
      </w:r>
      <w:proofErr w:type="spellStart"/>
      <w:r w:rsidRPr="00182336">
        <w:rPr>
          <w:rFonts w:ascii="Times New Roman" w:hAnsi="Times New Roman" w:cs="Times New Roman"/>
        </w:rPr>
        <w:t>Siegmar</w:t>
      </w:r>
      <w:proofErr w:type="spellEnd"/>
      <w:r w:rsidRPr="00182336">
        <w:rPr>
          <w:rFonts w:ascii="Times New Roman" w:hAnsi="Times New Roman" w:cs="Times New Roman"/>
        </w:rPr>
        <w:t xml:space="preserve"> </w:t>
      </w:r>
      <w:proofErr w:type="spellStart"/>
      <w:r w:rsidRPr="00182336">
        <w:rPr>
          <w:rFonts w:ascii="Times New Roman" w:hAnsi="Times New Roman" w:cs="Times New Roman"/>
        </w:rPr>
        <w:t>Weidle</w:t>
      </w:r>
      <w:proofErr w:type="spellEnd"/>
      <w:r w:rsidRPr="00182336">
        <w:rPr>
          <w:rFonts w:ascii="Times New Roman" w:hAnsi="Times New Roman" w:cs="Times New Roman"/>
        </w:rPr>
        <w:t xml:space="preserve"> à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pena de cassação de aposentadoria, divirjo</w:t>
      </w:r>
      <w:proofErr w:type="gramEnd"/>
      <w:r w:rsidRPr="00182336">
        <w:rPr>
          <w:rFonts w:ascii="Times New Roman" w:hAnsi="Times New Roman" w:cs="Times New Roman"/>
        </w:rPr>
        <w:t xml:space="preserve"> da comissão de inquérito,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pelos seguintes fundamentos: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a) ausência de provas de enriquecimento ilícito;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b) absolvição na ação civil pública de improbidade administrativa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nº 2008.34.00.011140-0/DF, julgada em 11/11/2011, na qual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o Tribunal Regional Federal da 1ª Região concluiu que "não restou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evidenciada, ao final, a prática de ato de desonestidade e de má-fé,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 xml:space="preserve">por parte dos réus"; </w:t>
      </w:r>
      <w:proofErr w:type="gramStart"/>
      <w:r w:rsidRPr="00182336">
        <w:rPr>
          <w:rFonts w:ascii="Times New Roman" w:hAnsi="Times New Roman" w:cs="Times New Roman"/>
        </w:rPr>
        <w:t>e</w:t>
      </w:r>
      <w:proofErr w:type="gramEnd"/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c) antecedentes funcionais positivos, sem qualquer registro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de penalidades aplicadas anteriormente.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3. Portanto, não se mostra razoável a tipificação das condutas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 xml:space="preserve">nos </w:t>
      </w:r>
      <w:proofErr w:type="spellStart"/>
      <w:r w:rsidRPr="00182336">
        <w:rPr>
          <w:rFonts w:ascii="Times New Roman" w:hAnsi="Times New Roman" w:cs="Times New Roman"/>
        </w:rPr>
        <w:t>arts</w:t>
      </w:r>
      <w:proofErr w:type="spellEnd"/>
      <w:r w:rsidRPr="00182336">
        <w:rPr>
          <w:rFonts w:ascii="Times New Roman" w:hAnsi="Times New Roman" w:cs="Times New Roman"/>
        </w:rPr>
        <w:t>. 117, IX, e 132, IV, da Lei nº 8.112, de 11 de dezembro de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1990, sendo desproporcional a aplicação das penas de demissão e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cassação de aposentadoria. Nesse sentido, considero mais consentânea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com as provas carreadas aos autos a tipificação das condutas no art.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116, III, da referida lei, e decido pela condenação de ambos à pena de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suspensão, por 30 (trinta) dias.</w:t>
      </w:r>
    </w:p>
    <w:p w:rsidR="00182336" w:rsidRPr="00182336" w:rsidRDefault="00182336" w:rsidP="00182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2336">
        <w:rPr>
          <w:rFonts w:ascii="Times New Roman" w:hAnsi="Times New Roman" w:cs="Times New Roman"/>
        </w:rPr>
        <w:t>4. Finalmente, considerando a fluência do prazo prescricional,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determino, nos termos do art. 170 da Lei nº 8.112, de 1990, o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>registro dos fatos nos assentamentos individuais de Fátima Rejane de</w:t>
      </w:r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 xml:space="preserve">Meneses, Márcia de Albuquerque </w:t>
      </w:r>
      <w:proofErr w:type="spellStart"/>
      <w:r w:rsidRPr="00182336">
        <w:rPr>
          <w:rFonts w:ascii="Times New Roman" w:hAnsi="Times New Roman" w:cs="Times New Roman"/>
        </w:rPr>
        <w:t>Rosalvos</w:t>
      </w:r>
      <w:proofErr w:type="spellEnd"/>
      <w:r w:rsidRPr="00182336">
        <w:rPr>
          <w:rFonts w:ascii="Times New Roman" w:hAnsi="Times New Roman" w:cs="Times New Roman"/>
        </w:rPr>
        <w:t xml:space="preserve">, </w:t>
      </w:r>
      <w:proofErr w:type="spellStart"/>
      <w:r w:rsidRPr="00182336">
        <w:rPr>
          <w:rFonts w:ascii="Times New Roman" w:hAnsi="Times New Roman" w:cs="Times New Roman"/>
        </w:rPr>
        <w:t>Henryk</w:t>
      </w:r>
      <w:proofErr w:type="spellEnd"/>
      <w:r w:rsidRPr="00182336">
        <w:rPr>
          <w:rFonts w:ascii="Times New Roman" w:hAnsi="Times New Roman" w:cs="Times New Roman"/>
        </w:rPr>
        <w:t xml:space="preserve"> </w:t>
      </w:r>
      <w:proofErr w:type="spellStart"/>
      <w:r w:rsidRPr="00182336">
        <w:rPr>
          <w:rFonts w:ascii="Times New Roman" w:hAnsi="Times New Roman" w:cs="Times New Roman"/>
        </w:rPr>
        <w:t>Siewierski</w:t>
      </w:r>
      <w:proofErr w:type="spellEnd"/>
      <w:r w:rsidRPr="00182336">
        <w:rPr>
          <w:rFonts w:ascii="Times New Roman" w:hAnsi="Times New Roman" w:cs="Times New Roman"/>
        </w:rPr>
        <w:t xml:space="preserve">, </w:t>
      </w:r>
      <w:proofErr w:type="spellStart"/>
      <w:r w:rsidRPr="00182336">
        <w:rPr>
          <w:rFonts w:ascii="Times New Roman" w:hAnsi="Times New Roman" w:cs="Times New Roman"/>
        </w:rPr>
        <w:t>Timmothy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82336">
        <w:rPr>
          <w:rFonts w:ascii="Times New Roman" w:hAnsi="Times New Roman" w:cs="Times New Roman"/>
        </w:rPr>
        <w:t xml:space="preserve">Martin </w:t>
      </w:r>
      <w:proofErr w:type="spellStart"/>
      <w:r w:rsidRPr="00182336">
        <w:rPr>
          <w:rFonts w:ascii="Times New Roman" w:hAnsi="Times New Roman" w:cs="Times New Roman"/>
        </w:rPr>
        <w:t>Mulholland</w:t>
      </w:r>
      <w:proofErr w:type="spellEnd"/>
      <w:r w:rsidRPr="00182336">
        <w:rPr>
          <w:rFonts w:ascii="Times New Roman" w:hAnsi="Times New Roman" w:cs="Times New Roman"/>
        </w:rPr>
        <w:t xml:space="preserve"> e Érico Paulo </w:t>
      </w:r>
      <w:proofErr w:type="spellStart"/>
      <w:r w:rsidRPr="00182336">
        <w:rPr>
          <w:rFonts w:ascii="Times New Roman" w:hAnsi="Times New Roman" w:cs="Times New Roman"/>
        </w:rPr>
        <w:t>Siegmar</w:t>
      </w:r>
      <w:proofErr w:type="spellEnd"/>
      <w:r w:rsidRPr="00182336">
        <w:rPr>
          <w:rFonts w:ascii="Times New Roman" w:hAnsi="Times New Roman" w:cs="Times New Roman"/>
        </w:rPr>
        <w:t xml:space="preserve"> </w:t>
      </w:r>
      <w:proofErr w:type="spellStart"/>
      <w:r w:rsidRPr="00182336">
        <w:rPr>
          <w:rFonts w:ascii="Times New Roman" w:hAnsi="Times New Roman" w:cs="Times New Roman"/>
        </w:rPr>
        <w:t>Weidle</w:t>
      </w:r>
      <w:proofErr w:type="spellEnd"/>
      <w:r w:rsidRPr="00182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82336" w:rsidRPr="00182336" w:rsidRDefault="00182336" w:rsidP="00182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2336">
        <w:rPr>
          <w:rFonts w:ascii="Times New Roman" w:hAnsi="Times New Roman" w:cs="Times New Roman"/>
          <w:b/>
        </w:rPr>
        <w:t>ALOIZIO MERCADANTE OLIVA</w:t>
      </w:r>
    </w:p>
    <w:p w:rsidR="00182336" w:rsidRDefault="00182336" w:rsidP="00182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336" w:rsidRDefault="00182336" w:rsidP="00182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336" w:rsidRPr="00182336" w:rsidRDefault="00182336" w:rsidP="001823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82336">
        <w:rPr>
          <w:rFonts w:ascii="Times New Roman" w:hAnsi="Times New Roman" w:cs="Times New Roman"/>
          <w:b/>
          <w:i/>
        </w:rPr>
        <w:t xml:space="preserve">(Publicação no DOU n.º 197, de 10.10.2012, Seção 2, página </w:t>
      </w:r>
      <w:proofErr w:type="gramStart"/>
      <w:r w:rsidRPr="00182336">
        <w:rPr>
          <w:rFonts w:ascii="Times New Roman" w:hAnsi="Times New Roman" w:cs="Times New Roman"/>
          <w:b/>
          <w:i/>
        </w:rPr>
        <w:t>12)</w:t>
      </w:r>
      <w:proofErr w:type="gramEnd"/>
    </w:p>
    <w:sectPr w:rsidR="00182336" w:rsidRPr="00182336" w:rsidSect="0018233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36" w:rsidRDefault="00182336" w:rsidP="00182336">
      <w:pPr>
        <w:spacing w:after="0" w:line="240" w:lineRule="auto"/>
      </w:pPr>
      <w:r>
        <w:separator/>
      </w:r>
    </w:p>
  </w:endnote>
  <w:endnote w:type="continuationSeparator" w:id="0">
    <w:p w:rsidR="00182336" w:rsidRDefault="00182336" w:rsidP="0018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0729"/>
      <w:docPartObj>
        <w:docPartGallery w:val="Page Numbers (Bottom of Page)"/>
        <w:docPartUnique/>
      </w:docPartObj>
    </w:sdtPr>
    <w:sdtContent>
      <w:p w:rsidR="00182336" w:rsidRDefault="001823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2336" w:rsidRDefault="001823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36" w:rsidRDefault="00182336" w:rsidP="00182336">
      <w:pPr>
        <w:spacing w:after="0" w:line="240" w:lineRule="auto"/>
      </w:pPr>
      <w:r>
        <w:separator/>
      </w:r>
    </w:p>
  </w:footnote>
  <w:footnote w:type="continuationSeparator" w:id="0">
    <w:p w:rsidR="00182336" w:rsidRDefault="00182336" w:rsidP="00182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6"/>
    <w:rsid w:val="00182336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36"/>
  </w:style>
  <w:style w:type="paragraph" w:styleId="Rodap">
    <w:name w:val="footer"/>
    <w:basedOn w:val="Normal"/>
    <w:link w:val="RodapChar"/>
    <w:uiPriority w:val="99"/>
    <w:unhideWhenUsed/>
    <w:rsid w:val="0018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36"/>
  </w:style>
  <w:style w:type="paragraph" w:styleId="Rodap">
    <w:name w:val="footer"/>
    <w:basedOn w:val="Normal"/>
    <w:link w:val="RodapChar"/>
    <w:uiPriority w:val="99"/>
    <w:unhideWhenUsed/>
    <w:rsid w:val="0018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2012-10-10T11:52:00Z</dcterms:created>
  <dcterms:modified xsi:type="dcterms:W3CDTF">2012-10-10T12:00:00Z</dcterms:modified>
</cp:coreProperties>
</file>